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C24E0"/>
    <w:p w14:paraId="16715437"/>
    <w:p w14:paraId="10A829BB"/>
    <w:p w14:paraId="56C47F15"/>
    <w:p w14:paraId="6904BBC5"/>
    <w:p w14:paraId="3383BB50">
      <w:pPr>
        <w:rPr>
          <w:color w:val="auto"/>
        </w:rPr>
      </w:pPr>
    </w:p>
    <w:p w14:paraId="6550B007">
      <w:pPr>
        <w:jc w:val="center"/>
        <w:rPr>
          <w:rFonts w:hint="eastAsia"/>
          <w:b/>
          <w:color w:val="auto"/>
          <w:sz w:val="52"/>
          <w:lang w:val="en-US" w:eastAsia="zh-CN"/>
        </w:rPr>
      </w:pPr>
      <w:r>
        <w:rPr>
          <w:rFonts w:hint="eastAsia"/>
          <w:b/>
          <w:color w:val="auto"/>
          <w:sz w:val="52"/>
          <w:lang w:val="en-US" w:eastAsia="zh-CN"/>
        </w:rPr>
        <w:t>合肥国控建设融资担保有限公司</w:t>
      </w:r>
    </w:p>
    <w:p w14:paraId="7FE7BEB9">
      <w:pPr>
        <w:jc w:val="center"/>
        <w:rPr>
          <w:color w:val="auto"/>
        </w:rPr>
      </w:pPr>
      <w:r>
        <w:rPr>
          <w:rFonts w:hint="eastAsia"/>
          <w:b/>
          <w:color w:val="auto"/>
          <w:sz w:val="52"/>
          <w:lang w:val="en-US" w:eastAsia="zh-CN"/>
        </w:rPr>
        <w:t>代偿项目法律服务</w:t>
      </w:r>
      <w:r>
        <w:rPr>
          <w:b/>
          <w:color w:val="auto"/>
          <w:sz w:val="52"/>
        </w:rPr>
        <w:t>采购文件</w:t>
      </w:r>
    </w:p>
    <w:p w14:paraId="667A1A15"/>
    <w:p w14:paraId="1758632C"/>
    <w:p w14:paraId="2C59E79E"/>
    <w:p w14:paraId="2BC1E81D"/>
    <w:p w14:paraId="633BE31C"/>
    <w:p w14:paraId="6203FC59"/>
    <w:p w14:paraId="7A8F2EC9">
      <w:pPr>
        <w:jc w:val="center"/>
        <w:rPr>
          <w:rFonts w:hint="default" w:eastAsia="宋体"/>
          <w:b/>
          <w:bCs/>
          <w:lang w:val="en-US" w:eastAsia="zh-CN"/>
        </w:rPr>
      </w:pPr>
      <w:r>
        <w:rPr>
          <w:b/>
          <w:bCs/>
          <w:sz w:val="32"/>
        </w:rPr>
        <w:t>招标人：</w:t>
      </w:r>
      <w:r>
        <w:rPr>
          <w:rFonts w:hint="eastAsia"/>
          <w:b/>
          <w:bCs/>
          <w:sz w:val="32"/>
          <w:lang w:val="en-US" w:eastAsia="zh-CN"/>
        </w:rPr>
        <w:t>合肥国控建设融资担保有限公司</w:t>
      </w:r>
    </w:p>
    <w:p w14:paraId="7EF6248F"/>
    <w:p w14:paraId="1940174C">
      <w:pPr>
        <w:jc w:val="center"/>
        <w:rPr>
          <w:b/>
          <w:bCs/>
        </w:rPr>
      </w:pPr>
      <w:r>
        <w:rPr>
          <w:b/>
          <w:bCs/>
          <w:sz w:val="28"/>
        </w:rPr>
        <w:t>2026年6月</w:t>
      </w:r>
    </w:p>
    <w:p w14:paraId="6DB81C9C">
      <w:r>
        <w:br w:type="page"/>
      </w:r>
    </w:p>
    <w:p w14:paraId="186F8859">
      <w:pPr>
        <w:pStyle w:val="3"/>
        <w:pageBreakBefore w:val="0"/>
        <w:widowControl/>
        <w:kinsoku/>
        <w:wordWrap/>
        <w:overflowPunct/>
        <w:topLinePunct w:val="0"/>
        <w:autoSpaceDE/>
        <w:autoSpaceDN/>
        <w:bidi w:val="0"/>
        <w:adjustRightInd/>
        <w:snapToGrid/>
        <w:spacing w:line="380" w:lineRule="exact"/>
        <w:textAlignment w:val="auto"/>
      </w:pPr>
      <w:r>
        <w:t>一、项目概况</w:t>
      </w:r>
    </w:p>
    <w:p w14:paraId="19A82206">
      <w:pPr>
        <w:pageBreakBefore w:val="0"/>
        <w:widowControl/>
        <w:kinsoku/>
        <w:wordWrap/>
        <w:overflowPunct/>
        <w:topLinePunct w:val="0"/>
        <w:autoSpaceDE/>
        <w:autoSpaceDN/>
        <w:bidi w:val="0"/>
        <w:adjustRightInd/>
        <w:snapToGrid/>
        <w:spacing w:after="60" w:line="380" w:lineRule="exact"/>
        <w:ind w:firstLine="480"/>
        <w:textAlignment w:val="auto"/>
      </w:pPr>
      <w:r>
        <w:rPr>
          <w:b/>
        </w:rPr>
        <w:t>项目名称：</w:t>
      </w:r>
      <w:r>
        <w:rPr>
          <w:rFonts w:hint="eastAsia"/>
        </w:rPr>
        <w:t>合肥国控建设融资担保有限公司代偿项目法律服务采购</w:t>
      </w:r>
    </w:p>
    <w:p w14:paraId="2751D9D2">
      <w:pPr>
        <w:pageBreakBefore w:val="0"/>
        <w:widowControl/>
        <w:kinsoku/>
        <w:wordWrap/>
        <w:overflowPunct/>
        <w:topLinePunct w:val="0"/>
        <w:autoSpaceDE/>
        <w:autoSpaceDN/>
        <w:bidi w:val="0"/>
        <w:adjustRightInd/>
        <w:snapToGrid/>
        <w:spacing w:after="60" w:line="380" w:lineRule="exact"/>
        <w:ind w:firstLine="480"/>
        <w:textAlignment w:val="auto"/>
      </w:pPr>
      <w:r>
        <w:rPr>
          <w:b/>
        </w:rPr>
        <w:t>采购控制价：</w:t>
      </w:r>
      <w:r>
        <w:rPr>
          <w:rFonts w:hint="eastAsia"/>
        </w:rPr>
        <w:t>13.38万元</w:t>
      </w:r>
    </w:p>
    <w:p w14:paraId="7814D1F8">
      <w:pPr>
        <w:pageBreakBefore w:val="0"/>
        <w:widowControl/>
        <w:kinsoku/>
        <w:wordWrap/>
        <w:overflowPunct/>
        <w:topLinePunct w:val="0"/>
        <w:autoSpaceDE/>
        <w:autoSpaceDN/>
        <w:bidi w:val="0"/>
        <w:adjustRightInd/>
        <w:snapToGrid/>
        <w:spacing w:after="60" w:line="380" w:lineRule="exact"/>
        <w:ind w:firstLine="480"/>
        <w:textAlignment w:val="auto"/>
      </w:pPr>
      <w:r>
        <w:rPr>
          <w:rFonts w:hint="eastAsia"/>
          <w:lang w:val="en-US" w:eastAsia="zh-CN"/>
        </w:rPr>
        <w:t>项目情况、</w:t>
      </w:r>
      <w:r>
        <w:t>资格要求、文件递交等见公告正文。</w:t>
      </w:r>
    </w:p>
    <w:p w14:paraId="74DFA1BE">
      <w:pPr>
        <w:pStyle w:val="3"/>
        <w:pageBreakBefore w:val="0"/>
        <w:widowControl/>
        <w:kinsoku/>
        <w:wordWrap/>
        <w:overflowPunct/>
        <w:topLinePunct w:val="0"/>
        <w:autoSpaceDE/>
        <w:autoSpaceDN/>
        <w:bidi w:val="0"/>
        <w:adjustRightInd/>
        <w:snapToGrid/>
        <w:spacing w:line="380" w:lineRule="exact"/>
        <w:textAlignment w:val="auto"/>
      </w:pPr>
      <w:r>
        <w:t>二、核心服务内容及要求</w:t>
      </w:r>
    </w:p>
    <w:p w14:paraId="2823D26B">
      <w:pPr>
        <w:pStyle w:val="4"/>
        <w:pageBreakBefore w:val="0"/>
        <w:widowControl/>
        <w:kinsoku/>
        <w:wordWrap/>
        <w:overflowPunct/>
        <w:topLinePunct w:val="0"/>
        <w:autoSpaceDE/>
        <w:autoSpaceDN/>
        <w:bidi w:val="0"/>
        <w:adjustRightInd/>
        <w:snapToGrid/>
        <w:spacing w:line="380" w:lineRule="exact"/>
        <w:ind w:firstLine="482" w:firstLineChars="200"/>
        <w:textAlignment w:val="auto"/>
        <w:rPr>
          <w:rFonts w:ascii="宋体" w:hAnsi="宋体" w:eastAsia="宋体" w:cs="宋体"/>
          <w:b/>
          <w:bCs w:val="0"/>
          <w:color w:val="000000"/>
          <w:sz w:val="24"/>
          <w:szCs w:val="22"/>
          <w:lang w:val="en-US" w:eastAsia="en-US" w:bidi="ar-SA"/>
        </w:rPr>
      </w:pPr>
      <w:r>
        <w:rPr>
          <w:rFonts w:ascii="宋体" w:hAnsi="宋体" w:eastAsia="宋体" w:cs="宋体"/>
          <w:b/>
          <w:bCs w:val="0"/>
          <w:color w:val="000000"/>
          <w:sz w:val="24"/>
          <w:szCs w:val="22"/>
          <w:lang w:val="en-US" w:eastAsia="en-US" w:bidi="ar-SA"/>
        </w:rPr>
        <w:t>（一）诉讼、仲裁及强制执行全流程代理</w:t>
      </w:r>
    </w:p>
    <w:p w14:paraId="0C46FB5E">
      <w:pPr>
        <w:pageBreakBefore w:val="0"/>
        <w:widowControl/>
        <w:kinsoku/>
        <w:wordWrap/>
        <w:overflowPunct/>
        <w:topLinePunct w:val="0"/>
        <w:autoSpaceDE/>
        <w:autoSpaceDN/>
        <w:bidi w:val="0"/>
        <w:adjustRightInd/>
        <w:snapToGrid/>
        <w:spacing w:after="0" w:line="380" w:lineRule="exact"/>
        <w:ind w:firstLine="480" w:firstLineChars="200"/>
        <w:textAlignment w:val="auto"/>
      </w:pPr>
      <w:r>
        <w:rPr>
          <w:rFonts w:hint="eastAsia"/>
          <w:lang w:val="en-US" w:eastAsia="zh-CN"/>
        </w:rPr>
        <w:t>项目服务</w:t>
      </w:r>
      <w:r>
        <w:rPr>
          <w:highlight w:val="none"/>
        </w:rPr>
        <w:t>覆盖案件一审、二审、再审、上诉、执行异议、复议、强制执行</w:t>
      </w:r>
      <w:r>
        <w:rPr>
          <w:rFonts w:hint="eastAsia"/>
          <w:highlight w:val="none"/>
          <w:lang w:eastAsia="zh-CN"/>
        </w:rPr>
        <w:t>、</w:t>
      </w:r>
      <w:r>
        <w:rPr>
          <w:rFonts w:hint="eastAsia"/>
          <w:highlight w:val="none"/>
          <w:lang w:val="en-US" w:eastAsia="zh-CN"/>
        </w:rPr>
        <w:t>破产债权申报</w:t>
      </w:r>
      <w:r>
        <w:rPr>
          <w:highlight w:val="none"/>
        </w:rPr>
        <w:t>等全部司法与仲裁程序，包揽诉讼仲裁及执行阶段全链条基础性法律服务。服务内容包含：负责案件立案、答辩、举证、质证、庭审辩论、庭前普通调解、司法文书签收等常规工作；起草、修改、审核起诉状、答辩状、上诉状、强制执行申请书、证据清单、代理词等全套法律文书；按时参与各级法院、仲裁机构的庭审、听证、调解</w:t>
      </w:r>
      <w:r>
        <w:rPr>
          <w:rFonts w:hint="eastAsia"/>
          <w:highlight w:val="none"/>
          <w:lang w:eastAsia="zh-CN"/>
        </w:rPr>
        <w:t>、</w:t>
      </w:r>
      <w:r>
        <w:rPr>
          <w:rFonts w:hint="eastAsia"/>
          <w:highlight w:val="none"/>
          <w:lang w:val="en-US" w:eastAsia="zh-CN"/>
        </w:rPr>
        <w:t>债权人会议</w:t>
      </w:r>
      <w:r>
        <w:rPr>
          <w:highlight w:val="none"/>
        </w:rPr>
        <w:t>等活动，依法发表代理意见。针对生效判决、仲裁裁决，依规办理强制执行立案、线上线下财产查询，协助申请财产查封、冻结、扣押，配合司法机</w:t>
      </w:r>
      <w:r>
        <w:t>关开展资产评估、拍卖、抵债对接等执行辅助工作；主动排查债务人隐匿财产、转移资产、规避执行等线索，整理形成书面线索材料报送采购方，协助推进反担保资产处置、代偿资金追偿工作，最大限度压降国有资产损失、提升回款效率。</w:t>
      </w:r>
    </w:p>
    <w:p w14:paraId="166D5436">
      <w:pPr>
        <w:pageBreakBefore w:val="0"/>
        <w:widowControl/>
        <w:kinsoku/>
        <w:wordWrap/>
        <w:overflowPunct/>
        <w:topLinePunct w:val="0"/>
        <w:autoSpaceDE/>
        <w:autoSpaceDN/>
        <w:bidi w:val="0"/>
        <w:adjustRightInd/>
        <w:snapToGrid/>
        <w:spacing w:after="0" w:line="380" w:lineRule="exact"/>
        <w:ind w:firstLine="480" w:firstLineChars="200"/>
        <w:textAlignment w:val="auto"/>
      </w:pPr>
      <w:r>
        <w:t>项目全程为一般代理，无任何特别授权。律所及服务团队无权擅自代为变更、放弃诉讼请求、撤诉、达成调解/和解协议、放弃债权、签收重大裁决文书、作出执行和解、放弃执行标的、终结执行、变更执行主体及处置重大资产等涉及采购方实体权利的行为，所有实体处置事项，均须严格依据采购方书面审批批复后方可实施。</w:t>
      </w:r>
    </w:p>
    <w:p w14:paraId="182CE0EC">
      <w:pPr>
        <w:pStyle w:val="4"/>
        <w:pageBreakBefore w:val="0"/>
        <w:widowControl/>
        <w:kinsoku/>
        <w:wordWrap/>
        <w:overflowPunct/>
        <w:topLinePunct w:val="0"/>
        <w:autoSpaceDE/>
        <w:autoSpaceDN/>
        <w:bidi w:val="0"/>
        <w:adjustRightInd/>
        <w:snapToGrid/>
        <w:spacing w:line="380" w:lineRule="exact"/>
        <w:ind w:firstLine="482" w:firstLineChars="200"/>
        <w:textAlignment w:val="auto"/>
        <w:rPr>
          <w:rFonts w:ascii="宋体" w:hAnsi="宋体" w:eastAsia="宋体" w:cs="宋体"/>
          <w:b/>
          <w:bCs w:val="0"/>
          <w:color w:val="000000"/>
          <w:sz w:val="24"/>
          <w:szCs w:val="22"/>
          <w:lang w:val="en-US" w:eastAsia="en-US" w:bidi="ar-SA"/>
        </w:rPr>
      </w:pPr>
      <w:r>
        <w:rPr>
          <w:rFonts w:ascii="宋体" w:hAnsi="宋体" w:eastAsia="宋体" w:cs="宋体"/>
          <w:b/>
          <w:bCs w:val="0"/>
          <w:color w:val="000000"/>
          <w:sz w:val="24"/>
          <w:szCs w:val="22"/>
          <w:lang w:val="en-US" w:eastAsia="en-US" w:bidi="ar-SA"/>
        </w:rPr>
        <w:t>（二）保全与应急法律事务</w:t>
      </w:r>
    </w:p>
    <w:p w14:paraId="180B96F5">
      <w:pPr>
        <w:pageBreakBefore w:val="0"/>
        <w:widowControl/>
        <w:kinsoku/>
        <w:wordWrap/>
        <w:overflowPunct/>
        <w:topLinePunct w:val="0"/>
        <w:autoSpaceDE/>
        <w:autoSpaceDN/>
        <w:bidi w:val="0"/>
        <w:adjustRightInd/>
        <w:snapToGrid/>
        <w:spacing w:after="60" w:line="380" w:lineRule="exact"/>
        <w:ind w:firstLine="480"/>
        <w:textAlignment w:val="auto"/>
      </w:pPr>
      <w:r>
        <w:t>根据案件需要，及时申请诉前保全、诉讼保全、证据保全，防范债务人转移资产、销毁证据；针对案件突发情况，快速出具应急法律意见，制定应急处置方案，保障案件顺利推进。</w:t>
      </w:r>
    </w:p>
    <w:p w14:paraId="79C4251E">
      <w:pPr>
        <w:pStyle w:val="4"/>
        <w:pageBreakBefore w:val="0"/>
        <w:widowControl/>
        <w:kinsoku/>
        <w:wordWrap/>
        <w:overflowPunct/>
        <w:topLinePunct w:val="0"/>
        <w:autoSpaceDE/>
        <w:autoSpaceDN/>
        <w:bidi w:val="0"/>
        <w:adjustRightInd/>
        <w:snapToGrid/>
        <w:spacing w:line="380" w:lineRule="exact"/>
        <w:ind w:firstLine="482" w:firstLineChars="200"/>
        <w:textAlignment w:val="auto"/>
        <w:rPr>
          <w:rFonts w:ascii="宋体" w:hAnsi="宋体" w:eastAsia="宋体" w:cs="宋体"/>
          <w:b/>
          <w:bCs w:val="0"/>
          <w:color w:val="000000"/>
          <w:sz w:val="24"/>
          <w:szCs w:val="22"/>
          <w:lang w:val="en-US" w:eastAsia="en-US" w:bidi="ar-SA"/>
        </w:rPr>
      </w:pPr>
      <w:r>
        <w:rPr>
          <w:rFonts w:ascii="宋体" w:hAnsi="宋体" w:eastAsia="宋体" w:cs="宋体"/>
          <w:b/>
          <w:bCs w:val="0"/>
          <w:color w:val="000000"/>
          <w:sz w:val="24"/>
          <w:szCs w:val="22"/>
          <w:lang w:val="en-US" w:eastAsia="en-US" w:bidi="ar-SA"/>
        </w:rPr>
        <w:t>（三）专项法律咨询与合规建议</w:t>
      </w:r>
    </w:p>
    <w:p w14:paraId="714859AF">
      <w:pPr>
        <w:pageBreakBefore w:val="0"/>
        <w:widowControl/>
        <w:kinsoku/>
        <w:wordWrap/>
        <w:overflowPunct/>
        <w:topLinePunct w:val="0"/>
        <w:autoSpaceDE/>
        <w:autoSpaceDN/>
        <w:bidi w:val="0"/>
        <w:adjustRightInd/>
        <w:snapToGrid/>
        <w:spacing w:after="60" w:line="380" w:lineRule="exact"/>
        <w:ind w:firstLine="480"/>
        <w:textAlignment w:val="auto"/>
      </w:pPr>
      <w:r>
        <w:t>服务期内，针对采购方担保业务风险处置、合同合规、追偿流程优化等相关问题，提供免费日常法律咨询及风险防控建议。</w:t>
      </w:r>
    </w:p>
    <w:p w14:paraId="1963633D">
      <w:pPr>
        <w:pStyle w:val="3"/>
        <w:pageBreakBefore w:val="0"/>
        <w:widowControl/>
        <w:kinsoku/>
        <w:wordWrap/>
        <w:overflowPunct/>
        <w:topLinePunct w:val="0"/>
        <w:autoSpaceDE/>
        <w:autoSpaceDN/>
        <w:bidi w:val="0"/>
        <w:adjustRightInd/>
        <w:snapToGrid/>
        <w:spacing w:line="380" w:lineRule="exact"/>
        <w:textAlignment w:val="auto"/>
      </w:pPr>
      <w:r>
        <w:t>三、供应商响应文件要求</w:t>
      </w:r>
    </w:p>
    <w:p w14:paraId="50DBAB40">
      <w:pPr>
        <w:pageBreakBefore w:val="0"/>
        <w:widowControl/>
        <w:kinsoku/>
        <w:wordWrap/>
        <w:overflowPunct/>
        <w:topLinePunct w:val="0"/>
        <w:autoSpaceDE/>
        <w:autoSpaceDN/>
        <w:bidi w:val="0"/>
        <w:adjustRightInd/>
        <w:snapToGrid/>
        <w:spacing w:after="60" w:line="380" w:lineRule="exact"/>
        <w:ind w:firstLine="480"/>
        <w:textAlignment w:val="auto"/>
      </w:pPr>
      <w:r>
        <w:rPr>
          <w:b/>
          <w:sz w:val="28"/>
          <w:szCs w:val="28"/>
        </w:rPr>
        <w:t>（一）响应文件</w:t>
      </w:r>
      <w:r>
        <w:rPr>
          <w:rFonts w:hint="eastAsia"/>
          <w:b/>
          <w:lang w:eastAsia="zh-CN"/>
        </w:rPr>
        <w:t>：</w:t>
      </w:r>
      <w:r>
        <w:t>包含</w:t>
      </w:r>
      <w:r>
        <w:rPr>
          <w:rFonts w:hint="eastAsia"/>
          <w:lang w:val="en-US" w:eastAsia="zh-CN"/>
        </w:rPr>
        <w:t>律所、参与团队资料、业绩材料</w:t>
      </w:r>
      <w:r>
        <w:t>、服务</w:t>
      </w:r>
      <w:r>
        <w:rPr>
          <w:rFonts w:hint="eastAsia"/>
          <w:lang w:val="en-US" w:eastAsia="zh-CN"/>
        </w:rPr>
        <w:t>方案、报价方案</w:t>
      </w:r>
      <w:r>
        <w:t>等完整内容，整体密封包装，外包装加盖骑缝公章。</w:t>
      </w:r>
    </w:p>
    <w:p w14:paraId="315D9EA7">
      <w:pPr>
        <w:pageBreakBefore w:val="0"/>
        <w:widowControl/>
        <w:kinsoku/>
        <w:wordWrap/>
        <w:overflowPunct/>
        <w:topLinePunct w:val="0"/>
        <w:autoSpaceDE/>
        <w:autoSpaceDN/>
        <w:bidi w:val="0"/>
        <w:adjustRightInd/>
        <w:snapToGrid/>
        <w:spacing w:after="60" w:line="380" w:lineRule="exact"/>
        <w:ind w:firstLine="480"/>
        <w:textAlignment w:val="auto"/>
        <w:rPr>
          <w:sz w:val="28"/>
          <w:szCs w:val="28"/>
        </w:rPr>
      </w:pPr>
      <w:r>
        <w:rPr>
          <w:sz w:val="28"/>
          <w:szCs w:val="28"/>
        </w:rPr>
        <w:t>（</w:t>
      </w:r>
      <w:r>
        <w:rPr>
          <w:b/>
          <w:sz w:val="28"/>
          <w:szCs w:val="28"/>
        </w:rPr>
        <w:t>二）供应商须按以下顺序编制响应文件：</w:t>
      </w:r>
    </w:p>
    <w:p w14:paraId="28F69A6A">
      <w:pPr>
        <w:pageBreakBefore w:val="0"/>
        <w:widowControl/>
        <w:kinsoku/>
        <w:wordWrap/>
        <w:overflowPunct/>
        <w:topLinePunct w:val="0"/>
        <w:autoSpaceDE/>
        <w:autoSpaceDN/>
        <w:bidi w:val="0"/>
        <w:adjustRightInd/>
        <w:snapToGrid/>
        <w:spacing w:after="60" w:line="380" w:lineRule="exact"/>
        <w:ind w:firstLine="480"/>
        <w:textAlignment w:val="auto"/>
      </w:pPr>
      <w:r>
        <w:rPr>
          <w:b/>
          <w:bCs/>
        </w:rPr>
        <w:t>1.法定代表人身份证明及授权委托书：</w:t>
      </w:r>
      <w:r>
        <w:t>法定代表人身份证复印件、授权代理人身份证复印件（如有授权），全部加盖公章。</w:t>
      </w:r>
    </w:p>
    <w:p w14:paraId="370478E7">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b/>
          <w:bCs/>
        </w:rPr>
        <w:t>2.律所基本资质文件：</w:t>
      </w:r>
      <w:r>
        <w:rPr>
          <w:highlight w:val="none"/>
        </w:rPr>
        <w:t>有效的律师事务所执业许可证复印件</w:t>
      </w:r>
      <w:r>
        <w:rPr>
          <w:rFonts w:hint="eastAsia"/>
          <w:strike w:val="0"/>
          <w:dstrike w:val="0"/>
          <w:highlight w:val="none"/>
          <w:lang w:eastAsia="zh-CN"/>
        </w:rPr>
        <w:t>、</w:t>
      </w:r>
      <w:r>
        <w:rPr>
          <w:rFonts w:hint="eastAsia"/>
          <w:strike w:val="0"/>
          <w:dstrike w:val="0"/>
          <w:highlight w:val="none"/>
          <w:lang w:val="en-US" w:eastAsia="zh-CN"/>
        </w:rPr>
        <w:t>信用与履约记录、履约保障承诺</w:t>
      </w:r>
      <w:r>
        <w:rPr>
          <w:highlight w:val="none"/>
        </w:rPr>
        <w:t>等。</w:t>
      </w:r>
    </w:p>
    <w:p w14:paraId="6CC4E120">
      <w:pPr>
        <w:pageBreakBefore w:val="0"/>
        <w:widowControl/>
        <w:kinsoku/>
        <w:wordWrap/>
        <w:overflowPunct/>
        <w:topLinePunct w:val="0"/>
        <w:autoSpaceDE/>
        <w:autoSpaceDN/>
        <w:bidi w:val="0"/>
        <w:adjustRightInd/>
        <w:snapToGrid/>
        <w:spacing w:after="60" w:line="380" w:lineRule="exact"/>
        <w:ind w:firstLine="480"/>
        <w:textAlignment w:val="auto"/>
        <w:rPr>
          <w:rFonts w:hint="default" w:eastAsia="宋体"/>
          <w:highlight w:val="none"/>
          <w:lang w:val="en-US" w:eastAsia="zh-CN"/>
        </w:rPr>
      </w:pPr>
      <w:r>
        <w:rPr>
          <w:rFonts w:hint="eastAsia"/>
          <w:b/>
          <w:bCs/>
          <w:lang w:val="en-US" w:eastAsia="zh-CN"/>
        </w:rPr>
        <w:t>3.主办律师资质与经验：</w:t>
      </w:r>
      <w:r>
        <w:rPr>
          <w:highlight w:val="none"/>
        </w:rPr>
        <w:t>执业资格证、简历、年度考核合格证明</w:t>
      </w:r>
      <w:r>
        <w:rPr>
          <w:rFonts w:hint="eastAsia"/>
          <w:highlight w:val="none"/>
          <w:lang w:eastAsia="zh-CN"/>
        </w:rPr>
        <w:t>、</w:t>
      </w:r>
      <w:r>
        <w:rPr>
          <w:highlight w:val="none"/>
        </w:rPr>
        <w:t>专业资质证书</w:t>
      </w:r>
      <w:r>
        <w:rPr>
          <w:rFonts w:hint="eastAsia"/>
          <w:highlight w:val="none"/>
          <w:lang w:val="en-US" w:eastAsia="zh-CN"/>
        </w:rPr>
        <w:t>等材料</w:t>
      </w:r>
    </w:p>
    <w:p w14:paraId="0A613E40">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b/>
          <w:bCs/>
          <w:lang w:val="en-US" w:eastAsia="zh-CN"/>
        </w:rPr>
        <w:t>4</w:t>
      </w:r>
      <w:r>
        <w:rPr>
          <w:b/>
          <w:bCs/>
        </w:rPr>
        <w:t>.团队配置资料：</w:t>
      </w:r>
      <w:r>
        <w:rPr>
          <w:rFonts w:hint="eastAsia"/>
          <w:highlight w:val="none"/>
          <w:lang w:val="en-US" w:eastAsia="zh-CN"/>
        </w:rPr>
        <w:t>团队人员清单、任职人员承诺（清单内容需包含团队人员组成、从业年限、任务分工等）、以及相关人员</w:t>
      </w:r>
      <w:r>
        <w:rPr>
          <w:highlight w:val="none"/>
        </w:rPr>
        <w:t>执业资格证、简历、年度考核合格证明</w:t>
      </w:r>
      <w:r>
        <w:rPr>
          <w:rFonts w:hint="eastAsia"/>
          <w:highlight w:val="none"/>
          <w:lang w:val="en-US" w:eastAsia="zh-CN"/>
        </w:rPr>
        <w:t>等</w:t>
      </w:r>
      <w:r>
        <w:rPr>
          <w:highlight w:val="none"/>
        </w:rPr>
        <w:t>材料。</w:t>
      </w:r>
    </w:p>
    <w:p w14:paraId="6D60D2DA">
      <w:pPr>
        <w:pageBreakBefore w:val="0"/>
        <w:widowControl/>
        <w:kinsoku/>
        <w:wordWrap/>
        <w:overflowPunct/>
        <w:topLinePunct w:val="0"/>
        <w:autoSpaceDE/>
        <w:autoSpaceDN/>
        <w:bidi w:val="0"/>
        <w:adjustRightInd/>
        <w:snapToGrid/>
        <w:spacing w:after="60" w:line="380" w:lineRule="exact"/>
        <w:ind w:firstLine="480"/>
        <w:textAlignment w:val="auto"/>
        <w:rPr>
          <w:rFonts w:hint="default" w:eastAsia="宋体"/>
          <w:highlight w:val="none"/>
          <w:lang w:val="en-US" w:eastAsia="zh-CN"/>
        </w:rPr>
      </w:pPr>
      <w:r>
        <w:rPr>
          <w:rFonts w:hint="eastAsia"/>
          <w:b/>
          <w:bCs/>
          <w:lang w:val="en-US" w:eastAsia="zh-CN"/>
        </w:rPr>
        <w:t>5</w:t>
      </w:r>
      <w:r>
        <w:rPr>
          <w:b/>
          <w:bCs/>
        </w:rPr>
        <w:t>.业绩材料：</w:t>
      </w:r>
      <w:r>
        <w:rPr>
          <w:highlight w:val="none"/>
        </w:rPr>
        <w:t>近3年内国有</w:t>
      </w:r>
      <w:r>
        <w:rPr>
          <w:rFonts w:hint="eastAsia"/>
          <w:highlight w:val="none"/>
          <w:lang w:val="en-US" w:eastAsia="zh-CN"/>
        </w:rPr>
        <w:t>融资担保</w:t>
      </w:r>
      <w:r>
        <w:rPr>
          <w:rFonts w:hint="eastAsia"/>
          <w:highlight w:val="none"/>
        </w:rPr>
        <w:t>、股份制担保公司及下属子公司代偿追偿等同类案件</w:t>
      </w:r>
      <w:r>
        <w:rPr>
          <w:rFonts w:hint="eastAsia"/>
          <w:highlight w:val="none"/>
          <w:lang w:val="en-US" w:eastAsia="zh-CN"/>
        </w:rPr>
        <w:t>业绩、重大疑难案件及行业声誉</w:t>
      </w:r>
      <w:r>
        <w:rPr>
          <w:highlight w:val="none"/>
        </w:rPr>
        <w:t>等佐证材料。</w:t>
      </w:r>
    </w:p>
    <w:p w14:paraId="3E5CBCF8">
      <w:pPr>
        <w:pageBreakBefore w:val="0"/>
        <w:widowControl/>
        <w:kinsoku/>
        <w:wordWrap/>
        <w:overflowPunct/>
        <w:topLinePunct w:val="0"/>
        <w:autoSpaceDE/>
        <w:autoSpaceDN/>
        <w:bidi w:val="0"/>
        <w:adjustRightInd/>
        <w:snapToGrid/>
        <w:spacing w:after="60" w:line="380" w:lineRule="exact"/>
        <w:ind w:firstLine="480"/>
        <w:textAlignment w:val="auto"/>
        <w:rPr>
          <w:rFonts w:hint="eastAsia"/>
          <w:highlight w:val="none"/>
          <w:lang w:val="en-US" w:eastAsia="zh-CN"/>
        </w:rPr>
      </w:pPr>
      <w:r>
        <w:rPr>
          <w:rFonts w:hint="eastAsia"/>
          <w:b/>
          <w:bCs/>
          <w:lang w:val="en-US" w:eastAsia="zh-CN"/>
        </w:rPr>
        <w:t>6</w:t>
      </w:r>
      <w:r>
        <w:rPr>
          <w:b/>
          <w:bCs/>
        </w:rPr>
        <w:t>.</w:t>
      </w:r>
      <w:r>
        <w:rPr>
          <w:rFonts w:hint="eastAsia"/>
          <w:b/>
          <w:bCs/>
          <w:lang w:val="en-US" w:eastAsia="zh-CN"/>
        </w:rPr>
        <w:t>律所服务方案</w:t>
      </w:r>
      <w:r>
        <w:rPr>
          <w:b/>
          <w:bCs/>
        </w:rPr>
        <w:t>：</w:t>
      </w:r>
      <w:r>
        <w:rPr>
          <w:rFonts w:hint="eastAsia"/>
          <w:highlight w:val="none"/>
          <w:lang w:val="en-US" w:eastAsia="zh-CN"/>
        </w:rPr>
        <w:t>方案需具体明确、具有实用性、落地性。</w:t>
      </w:r>
    </w:p>
    <w:p w14:paraId="267C1341">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b/>
          <w:bCs/>
          <w:lang w:val="en-US" w:eastAsia="zh-CN"/>
        </w:rPr>
        <w:t>7.报价方案：</w:t>
      </w:r>
      <w:r>
        <w:rPr>
          <w:highlight w:val="none"/>
        </w:rPr>
        <w:t>一次性报价，</w:t>
      </w:r>
      <w:r>
        <w:rPr>
          <w:rFonts w:hint="eastAsia"/>
          <w:highlight w:val="none"/>
          <w:lang w:val="en-US" w:eastAsia="zh-CN"/>
        </w:rPr>
        <w:t>涵盖税费以及服务范围费用；报价需明确每笔项目报价及合计报价；</w:t>
      </w:r>
      <w:r>
        <w:rPr>
          <w:highlight w:val="none"/>
        </w:rPr>
        <w:t>报价需清晰、固定、无</w:t>
      </w:r>
      <w:r>
        <w:rPr>
          <w:rFonts w:hint="eastAsia"/>
          <w:highlight w:val="none"/>
          <w:lang w:eastAsia="zh-CN"/>
        </w:rPr>
        <w:t>隐性</w:t>
      </w:r>
      <w:r>
        <w:rPr>
          <w:highlight w:val="none"/>
        </w:rPr>
        <w:t>收费。</w:t>
      </w:r>
    </w:p>
    <w:p w14:paraId="2600E597">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b/>
          <w:bCs/>
          <w:lang w:val="en-US" w:eastAsia="zh-CN"/>
        </w:rPr>
        <w:t>8</w:t>
      </w:r>
      <w:r>
        <w:rPr>
          <w:b/>
          <w:bCs/>
        </w:rPr>
        <w:t>.其他补充材料：</w:t>
      </w:r>
      <w:r>
        <w:rPr>
          <w:highlight w:val="none"/>
        </w:rPr>
        <w:t>供应商认为需要提供的其他佐证文件。</w:t>
      </w:r>
    </w:p>
    <w:p w14:paraId="0AE29FE1">
      <w:pPr>
        <w:pageBreakBefore w:val="0"/>
        <w:widowControl/>
        <w:kinsoku/>
        <w:wordWrap/>
        <w:overflowPunct/>
        <w:topLinePunct w:val="0"/>
        <w:autoSpaceDE/>
        <w:autoSpaceDN/>
        <w:bidi w:val="0"/>
        <w:adjustRightInd/>
        <w:snapToGrid/>
        <w:spacing w:after="60" w:line="380" w:lineRule="exact"/>
        <w:ind w:firstLine="480"/>
        <w:textAlignment w:val="auto"/>
        <w:rPr>
          <w:b/>
          <w:sz w:val="28"/>
          <w:szCs w:val="28"/>
        </w:rPr>
      </w:pPr>
      <w:r>
        <w:rPr>
          <w:b/>
          <w:sz w:val="28"/>
          <w:szCs w:val="28"/>
        </w:rPr>
        <w:t>（三）所有复印件材料均须加盖公章，内容真实有效。</w:t>
      </w:r>
    </w:p>
    <w:p w14:paraId="3D12D7D8">
      <w:pPr>
        <w:pStyle w:val="3"/>
        <w:pageBreakBefore w:val="0"/>
        <w:widowControl/>
        <w:kinsoku/>
        <w:wordWrap/>
        <w:overflowPunct/>
        <w:topLinePunct w:val="0"/>
        <w:autoSpaceDE/>
        <w:autoSpaceDN/>
        <w:bidi w:val="0"/>
        <w:adjustRightInd/>
        <w:snapToGrid/>
        <w:spacing w:line="380" w:lineRule="exact"/>
        <w:textAlignment w:val="auto"/>
      </w:pPr>
      <w:r>
        <w:t>四、综合评分标准（总分100分）</w:t>
      </w:r>
    </w:p>
    <w:p w14:paraId="2D9C6638">
      <w:pPr>
        <w:pageBreakBefore w:val="0"/>
        <w:widowControl/>
        <w:kinsoku/>
        <w:wordWrap/>
        <w:overflowPunct/>
        <w:topLinePunct w:val="0"/>
        <w:autoSpaceDE/>
        <w:autoSpaceDN/>
        <w:bidi w:val="0"/>
        <w:adjustRightInd/>
        <w:snapToGrid/>
        <w:spacing w:line="380" w:lineRule="exact"/>
        <w:ind w:firstLine="480"/>
        <w:textAlignment w:val="auto"/>
        <w:rPr>
          <w:sz w:val="28"/>
          <w:szCs w:val="28"/>
          <w:highlight w:val="none"/>
        </w:rPr>
      </w:pPr>
      <w:r>
        <w:rPr>
          <w:b/>
          <w:sz w:val="28"/>
          <w:szCs w:val="28"/>
        </w:rPr>
        <w:t>（一）律所综合</w:t>
      </w:r>
      <w:r>
        <w:rPr>
          <w:b/>
          <w:sz w:val="28"/>
          <w:szCs w:val="28"/>
          <w:highlight w:val="none"/>
        </w:rPr>
        <w:t>实力（0-4</w:t>
      </w:r>
      <w:r>
        <w:rPr>
          <w:rFonts w:hint="eastAsia"/>
          <w:b/>
          <w:sz w:val="28"/>
          <w:szCs w:val="28"/>
          <w:highlight w:val="none"/>
          <w:lang w:val="en-US" w:eastAsia="zh-CN"/>
        </w:rPr>
        <w:t>0</w:t>
      </w:r>
      <w:r>
        <w:rPr>
          <w:b/>
          <w:sz w:val="28"/>
          <w:szCs w:val="28"/>
          <w:highlight w:val="none"/>
        </w:rPr>
        <w:t>分）</w:t>
      </w:r>
    </w:p>
    <w:p w14:paraId="4521672A">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本项评审参选律所合规资质、经营稳定性、信用履约情况及服务保障承诺，核实材料真实有效，无虚假、过期、变造材料，否则本项不得分。</w:t>
      </w:r>
    </w:p>
    <w:p w14:paraId="1B6A597E">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1.律所资质与从业规模（10分）</w:t>
      </w:r>
    </w:p>
    <w:p w14:paraId="500585D3">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参选律所具备合法有效的律师事务所执业许可证，正常存续经营：</w:t>
      </w:r>
    </w:p>
    <w:p w14:paraId="7C4D2836">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1）律所成立满5年（含）以上，且本地常驻执业律师5人（含）以上的，得</w:t>
      </w:r>
      <w:r>
        <w:rPr>
          <w:rFonts w:hint="eastAsia"/>
          <w:highlight w:val="none"/>
          <w:lang w:val="en-US" w:eastAsia="zh-CN"/>
        </w:rPr>
        <w:t>10</w:t>
      </w:r>
      <w:r>
        <w:rPr>
          <w:highlight w:val="none"/>
        </w:rPr>
        <w:t>分；</w:t>
      </w:r>
    </w:p>
    <w:p w14:paraId="6843A6CC">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2</w:t>
      </w:r>
      <w:r>
        <w:rPr>
          <w:highlight w:val="none"/>
        </w:rPr>
        <w:t>）律所成立满3年（含）以上，且本地常驻执业律师3人（含）以上的，得</w:t>
      </w:r>
      <w:r>
        <w:rPr>
          <w:rFonts w:hint="eastAsia"/>
          <w:highlight w:val="none"/>
          <w:lang w:val="en-US" w:eastAsia="zh-CN"/>
        </w:rPr>
        <w:t>5</w:t>
      </w:r>
      <w:r>
        <w:rPr>
          <w:highlight w:val="none"/>
        </w:rPr>
        <w:t>分；</w:t>
      </w:r>
    </w:p>
    <w:p w14:paraId="1F8FFFFE">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3</w:t>
      </w:r>
      <w:r>
        <w:rPr>
          <w:highlight w:val="none"/>
        </w:rPr>
        <w:t>）律所成立3年以下或本地常驻执业律师3人以下的，得1分；</w:t>
      </w:r>
    </w:p>
    <w:p w14:paraId="761D2F3A">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4</w:t>
      </w:r>
      <w:r>
        <w:rPr>
          <w:highlight w:val="none"/>
        </w:rPr>
        <w:t>）资质不全、经营异常、无有效执业资质的，本项不得分。</w:t>
      </w:r>
    </w:p>
    <w:p w14:paraId="0C96F180">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t>佐证要</w:t>
      </w:r>
      <w:r>
        <w:rPr>
          <w:highlight w:val="none"/>
        </w:rPr>
        <w:t>求：提供律所执业许可证、本地在职律师执业证</w:t>
      </w:r>
      <w:r>
        <w:rPr>
          <w:rFonts w:hint="eastAsia"/>
          <w:highlight w:val="none"/>
          <w:lang w:val="en-US" w:eastAsia="zh-CN"/>
        </w:rPr>
        <w:t>或</w:t>
      </w:r>
      <w:r>
        <w:rPr>
          <w:highlight w:val="none"/>
        </w:rPr>
        <w:t>社保证明，未提供佐证材料不予计分。</w:t>
      </w:r>
    </w:p>
    <w:p w14:paraId="2ACA6C17">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2.信用与履约记录（5分）</w:t>
      </w:r>
    </w:p>
    <w:p w14:paraId="41A840F5">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近3年内（自比选公告发布之日起倒算），参选律所及拟派驻主办律师无司法行政部门行政处罚、无律师行业协会惩戒、无有效重大投诉记录、无法律服务合同违约诉讼/仲裁记录的，得5分。</w:t>
      </w:r>
    </w:p>
    <w:p w14:paraId="45BAA529">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1）存在轻微违规、一般投诉且已整改结案的，每项扣2分，扣完为止；</w:t>
      </w:r>
    </w:p>
    <w:p w14:paraId="0937946F">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2）存在行政处罚、行业惩戒、重大失信记录、未结投诉、合同违约记录的，本项直接不得分。</w:t>
      </w:r>
    </w:p>
    <w:p w14:paraId="0AB2DC2E">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佐证要求：提供</w:t>
      </w:r>
      <w:r>
        <w:rPr>
          <w:rFonts w:hint="eastAsia"/>
          <w:highlight w:val="none"/>
        </w:rPr>
        <w:t>全国律师诚信信息公示平台</w:t>
      </w:r>
      <w:r>
        <w:rPr>
          <w:highlight w:val="none"/>
        </w:rPr>
        <w:t>、律协无违规证明等官方查询截图及书面承诺。</w:t>
      </w:r>
    </w:p>
    <w:p w14:paraId="14693CB9">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3.履约保障承诺（3分）</w:t>
      </w:r>
    </w:p>
    <w:p w14:paraId="2984A82B">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参选单位出具正式书面加盖公章承诺书，明确承诺：案件全程专属服务、严禁擅自转包、分包案件业务、严禁暴力催收、不得随意更换核心办案人员（主办/协办律师）</w:t>
      </w:r>
      <w:r>
        <w:rPr>
          <w:rFonts w:hint="eastAsia"/>
          <w:highlight w:val="none"/>
          <w:lang w:eastAsia="zh-CN"/>
        </w:rPr>
        <w:t>、不得</w:t>
      </w:r>
      <w:r>
        <w:rPr>
          <w:rFonts w:hint="eastAsia"/>
          <w:highlight w:val="none"/>
          <w:lang w:val="en-US" w:eastAsia="zh-CN"/>
        </w:rPr>
        <w:t>代理与公司存在利益冲突业务</w:t>
      </w:r>
      <w:r>
        <w:rPr>
          <w:highlight w:val="none"/>
        </w:rPr>
        <w:t>；若存在逾期履职、服务拖沓、履职不力、暴力催收、擅自换人等违约行为，自愿承担相应违约责任、接受我方考核及追责的，得3分。未出具正式承诺书、承诺条款不全的，本项不得分。</w:t>
      </w:r>
    </w:p>
    <w:p w14:paraId="13C8125F">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4.主办律师资质与经验（1</w:t>
      </w:r>
      <w:r>
        <w:rPr>
          <w:rFonts w:hint="eastAsia"/>
          <w:b/>
          <w:highlight w:val="none"/>
          <w:lang w:val="en-US" w:eastAsia="zh-CN"/>
        </w:rPr>
        <w:t>0</w:t>
      </w:r>
      <w:r>
        <w:rPr>
          <w:b/>
          <w:highlight w:val="none"/>
        </w:rPr>
        <w:t>分）</w:t>
      </w:r>
    </w:p>
    <w:p w14:paraId="6E5B3BEF">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1）执业年限（</w:t>
      </w:r>
      <w:r>
        <w:rPr>
          <w:rFonts w:hint="eastAsia"/>
          <w:highlight w:val="none"/>
          <w:lang w:val="en-US" w:eastAsia="zh-CN"/>
        </w:rPr>
        <w:t>7</w:t>
      </w:r>
      <w:r>
        <w:rPr>
          <w:highlight w:val="none"/>
        </w:rPr>
        <w:t>分）：拟派驻主办律师具备有效专职律师执业资格，执业年限满10年（含）得</w:t>
      </w:r>
      <w:r>
        <w:rPr>
          <w:rFonts w:hint="eastAsia"/>
          <w:highlight w:val="none"/>
          <w:lang w:val="en-US" w:eastAsia="zh-CN"/>
        </w:rPr>
        <w:t>7</w:t>
      </w:r>
      <w:r>
        <w:rPr>
          <w:highlight w:val="none"/>
        </w:rPr>
        <w:t>分</w:t>
      </w:r>
      <w:r>
        <w:rPr>
          <w:rFonts w:hint="eastAsia"/>
          <w:highlight w:val="none"/>
          <w:lang w:eastAsia="zh-CN"/>
        </w:rPr>
        <w:t>；</w:t>
      </w:r>
      <w:r>
        <w:rPr>
          <w:highlight w:val="none"/>
        </w:rPr>
        <w:t>满5年（含）得</w:t>
      </w:r>
      <w:r>
        <w:rPr>
          <w:rFonts w:hint="eastAsia"/>
          <w:highlight w:val="none"/>
          <w:lang w:val="en-US" w:eastAsia="zh-CN"/>
        </w:rPr>
        <w:t>4</w:t>
      </w:r>
      <w:r>
        <w:rPr>
          <w:highlight w:val="none"/>
        </w:rPr>
        <w:t>分</w:t>
      </w:r>
      <w:r>
        <w:rPr>
          <w:rFonts w:hint="eastAsia"/>
          <w:highlight w:val="none"/>
          <w:lang w:eastAsia="zh-CN"/>
        </w:rPr>
        <w:t>；</w:t>
      </w:r>
      <w:r>
        <w:rPr>
          <w:rFonts w:hint="eastAsia"/>
          <w:highlight w:val="none"/>
          <w:lang w:val="en-US" w:eastAsia="zh-CN"/>
        </w:rPr>
        <w:t>5年以下</w:t>
      </w:r>
      <w:r>
        <w:rPr>
          <w:highlight w:val="none"/>
        </w:rPr>
        <w:t>得1分。</w:t>
      </w:r>
    </w:p>
    <w:p w14:paraId="6AB02144">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2）专项资质（</w:t>
      </w:r>
      <w:r>
        <w:rPr>
          <w:rFonts w:hint="eastAsia"/>
          <w:highlight w:val="none"/>
          <w:lang w:val="en-US" w:eastAsia="zh-CN"/>
        </w:rPr>
        <w:t>3</w:t>
      </w:r>
      <w:r>
        <w:rPr>
          <w:highlight w:val="none"/>
        </w:rPr>
        <w:t>分）：持有</w:t>
      </w:r>
      <w:r>
        <w:rPr>
          <w:rFonts w:hint="eastAsia"/>
          <w:highlight w:val="none"/>
          <w:lang w:val="en-US" w:eastAsia="zh-CN"/>
        </w:rPr>
        <w:t>国有</w:t>
      </w:r>
      <w:r>
        <w:rPr>
          <w:highlight w:val="none"/>
        </w:rPr>
        <w:t>企业法律顾问、金融或类金融类专项资质证书或为合肥市律师协会金融保险法律专业委员会成员，每提供1项得1.5分，满分3分，无则不得分。</w:t>
      </w:r>
    </w:p>
    <w:p w14:paraId="2916670B">
      <w:pPr>
        <w:pageBreakBefore w:val="0"/>
        <w:widowControl/>
        <w:kinsoku/>
        <w:wordWrap/>
        <w:overflowPunct/>
        <w:topLinePunct w:val="0"/>
        <w:autoSpaceDE/>
        <w:autoSpaceDN/>
        <w:bidi w:val="0"/>
        <w:adjustRightInd/>
        <w:snapToGrid/>
        <w:spacing w:after="60" w:line="380" w:lineRule="exact"/>
        <w:ind w:firstLine="480"/>
        <w:textAlignment w:val="auto"/>
      </w:pPr>
      <w:r>
        <w:t>佐证要求：提供律师执业证、资质证书，未提供佐证材料不予计分。</w:t>
      </w:r>
    </w:p>
    <w:p w14:paraId="0D4FDC1D">
      <w:pPr>
        <w:pageBreakBefore w:val="0"/>
        <w:widowControl/>
        <w:kinsoku/>
        <w:wordWrap/>
        <w:overflowPunct/>
        <w:topLinePunct w:val="0"/>
        <w:autoSpaceDE/>
        <w:autoSpaceDN/>
        <w:bidi w:val="0"/>
        <w:adjustRightInd/>
        <w:snapToGrid/>
        <w:spacing w:line="380" w:lineRule="exact"/>
        <w:ind w:firstLine="480"/>
        <w:textAlignment w:val="auto"/>
      </w:pPr>
      <w:r>
        <w:rPr>
          <w:b/>
        </w:rPr>
        <w:t>5.团队配置完整性（12分）</w:t>
      </w:r>
    </w:p>
    <w:p w14:paraId="10A3F402">
      <w:pPr>
        <w:pageBreakBefore w:val="0"/>
        <w:widowControl/>
        <w:kinsoku/>
        <w:wordWrap/>
        <w:overflowPunct/>
        <w:topLinePunct w:val="0"/>
        <w:autoSpaceDE/>
        <w:autoSpaceDN/>
        <w:bidi w:val="0"/>
        <w:adjustRightInd/>
        <w:snapToGrid/>
        <w:spacing w:after="60" w:line="380" w:lineRule="exact"/>
        <w:ind w:firstLine="480"/>
        <w:textAlignment w:val="auto"/>
      </w:pPr>
      <w:r>
        <w:t>1）组建3人及以上固定专属办案团队（含主办律师、协办律师、办案专员），分工明确、权责清晰，且团队中至少2名成员具有专职律师执业资格的，得12分；</w:t>
      </w:r>
    </w:p>
    <w:p w14:paraId="28CE2EF1">
      <w:pPr>
        <w:pageBreakBefore w:val="0"/>
        <w:widowControl/>
        <w:kinsoku/>
        <w:wordWrap/>
        <w:overflowPunct/>
        <w:topLinePunct w:val="0"/>
        <w:autoSpaceDE/>
        <w:autoSpaceDN/>
        <w:bidi w:val="0"/>
        <w:adjustRightInd/>
        <w:snapToGrid/>
        <w:spacing w:after="60" w:line="380" w:lineRule="exact"/>
        <w:ind w:firstLine="480"/>
        <w:textAlignment w:val="auto"/>
      </w:pPr>
      <w:r>
        <w:t>2）配置3人及以上固定团队，但团队中仅1名专职律师的，得8分；</w:t>
      </w:r>
    </w:p>
    <w:p w14:paraId="5BC22148">
      <w:pPr>
        <w:pageBreakBefore w:val="0"/>
        <w:widowControl/>
        <w:kinsoku/>
        <w:wordWrap/>
        <w:overflowPunct/>
        <w:topLinePunct w:val="0"/>
        <w:autoSpaceDE/>
        <w:autoSpaceDN/>
        <w:bidi w:val="0"/>
        <w:adjustRightInd/>
        <w:snapToGrid/>
        <w:spacing w:after="60" w:line="380" w:lineRule="exact"/>
        <w:ind w:firstLine="480"/>
        <w:textAlignment w:val="auto"/>
      </w:pPr>
      <w:r>
        <w:t>3）配置2人办案团队，人员固定、分工基本清晰，得5分；</w:t>
      </w:r>
    </w:p>
    <w:p w14:paraId="2E5F871D">
      <w:pPr>
        <w:pageBreakBefore w:val="0"/>
        <w:widowControl/>
        <w:kinsoku/>
        <w:wordWrap/>
        <w:overflowPunct/>
        <w:topLinePunct w:val="0"/>
        <w:autoSpaceDE/>
        <w:autoSpaceDN/>
        <w:bidi w:val="0"/>
        <w:adjustRightInd/>
        <w:snapToGrid/>
        <w:spacing w:after="60" w:line="380" w:lineRule="exact"/>
        <w:ind w:firstLine="480"/>
        <w:textAlignment w:val="auto"/>
      </w:pPr>
      <w:r>
        <w:t>4）仅单人承办案件，无辅助团队支持，得1分。</w:t>
      </w:r>
    </w:p>
    <w:p w14:paraId="49C85EED">
      <w:pPr>
        <w:pageBreakBefore w:val="0"/>
        <w:widowControl/>
        <w:kinsoku/>
        <w:wordWrap/>
        <w:overflowPunct/>
        <w:topLinePunct w:val="0"/>
        <w:autoSpaceDE/>
        <w:autoSpaceDN/>
        <w:bidi w:val="0"/>
        <w:adjustRightInd/>
        <w:snapToGrid/>
        <w:spacing w:after="60" w:line="380" w:lineRule="exact"/>
        <w:ind w:firstLine="480"/>
        <w:textAlignment w:val="auto"/>
      </w:pPr>
      <w:r>
        <w:t>补充规则：未列明团队人员清单、无人员任职承诺的，酌情扣分。</w:t>
      </w:r>
    </w:p>
    <w:p w14:paraId="641013D5">
      <w:pPr>
        <w:pageBreakBefore w:val="0"/>
        <w:widowControl/>
        <w:kinsoku/>
        <w:wordWrap/>
        <w:overflowPunct/>
        <w:topLinePunct w:val="0"/>
        <w:autoSpaceDE/>
        <w:autoSpaceDN/>
        <w:bidi w:val="0"/>
        <w:adjustRightInd/>
        <w:snapToGrid/>
        <w:spacing w:line="380" w:lineRule="exact"/>
        <w:ind w:firstLine="480"/>
        <w:textAlignment w:val="auto"/>
        <w:rPr>
          <w:b/>
          <w:sz w:val="28"/>
          <w:szCs w:val="28"/>
        </w:rPr>
      </w:pPr>
      <w:r>
        <w:rPr>
          <w:b/>
          <w:sz w:val="28"/>
          <w:szCs w:val="28"/>
        </w:rPr>
        <w:t>（二）</w:t>
      </w:r>
      <w:r>
        <w:rPr>
          <w:rFonts w:hint="eastAsia"/>
          <w:b/>
          <w:sz w:val="28"/>
          <w:szCs w:val="28"/>
          <w:lang w:val="en-US" w:eastAsia="zh-CN"/>
        </w:rPr>
        <w:t>主办律师业绩及律所声誉</w:t>
      </w:r>
      <w:r>
        <w:rPr>
          <w:b/>
          <w:sz w:val="28"/>
          <w:szCs w:val="28"/>
        </w:rPr>
        <w:t>（0-3</w:t>
      </w:r>
      <w:r>
        <w:rPr>
          <w:rFonts w:hint="eastAsia"/>
          <w:b/>
          <w:sz w:val="28"/>
          <w:szCs w:val="28"/>
          <w:lang w:val="en-US" w:eastAsia="zh-CN"/>
        </w:rPr>
        <w:t>5</w:t>
      </w:r>
      <w:r>
        <w:rPr>
          <w:b/>
          <w:sz w:val="28"/>
          <w:szCs w:val="28"/>
        </w:rPr>
        <w:t>分）</w:t>
      </w:r>
    </w:p>
    <w:p w14:paraId="4C10862C">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主办律师</w:t>
      </w:r>
      <w:r>
        <w:rPr>
          <w:highlight w:val="none"/>
        </w:rPr>
        <w:t>所有业绩均为近3年内（自比选公告发布之日起倒算）已代理案件，业绩真实可查，造假、挂靠、虚报业绩直接作废标处理，本大类计0分。</w:t>
      </w:r>
    </w:p>
    <w:p w14:paraId="1BC1277A">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1.</w:t>
      </w:r>
      <w:r>
        <w:rPr>
          <w:rFonts w:hint="eastAsia"/>
          <w:b/>
          <w:highlight w:val="none"/>
          <w:lang w:val="en-US" w:eastAsia="zh-CN"/>
        </w:rPr>
        <w:t>主办律师</w:t>
      </w:r>
      <w:r>
        <w:rPr>
          <w:b/>
          <w:highlight w:val="none"/>
        </w:rPr>
        <w:t>同类案件办案数量（</w:t>
      </w:r>
      <w:r>
        <w:rPr>
          <w:rFonts w:hint="eastAsia"/>
          <w:b/>
          <w:highlight w:val="none"/>
          <w:lang w:val="en-US" w:eastAsia="zh-CN"/>
        </w:rPr>
        <w:t>0-30</w:t>
      </w:r>
      <w:r>
        <w:rPr>
          <w:b/>
          <w:highlight w:val="none"/>
        </w:rPr>
        <w:t>分）</w:t>
      </w:r>
    </w:p>
    <w:p w14:paraId="511D1246">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highlight w:val="none"/>
          <w:lang w:val="en-US" w:eastAsia="zh-CN"/>
        </w:rPr>
        <w:t>1</w:t>
      </w:r>
      <w:r>
        <w:rPr>
          <w:highlight w:val="none"/>
        </w:rPr>
        <w:t>）</w:t>
      </w:r>
      <w:r>
        <w:rPr>
          <w:rFonts w:hint="eastAsia"/>
          <w:highlight w:val="none"/>
          <w:lang w:val="en-US" w:eastAsia="zh-CN"/>
        </w:rPr>
        <w:t>主办律师</w:t>
      </w:r>
      <w:r>
        <w:rPr>
          <w:highlight w:val="none"/>
        </w:rPr>
        <w:t>具备</w:t>
      </w:r>
      <w:r>
        <w:rPr>
          <w:rFonts w:hint="eastAsia"/>
          <w:highlight w:val="none"/>
          <w:lang w:val="en-US" w:eastAsia="zh-CN"/>
        </w:rPr>
        <w:t>国有融资担保公司</w:t>
      </w:r>
      <w:r>
        <w:rPr>
          <w:highlight w:val="none"/>
        </w:rPr>
        <w:t>代偿追偿等同类案件执业经验</w:t>
      </w:r>
      <w:r>
        <w:rPr>
          <w:rFonts w:hint="eastAsia"/>
          <w:highlight w:val="none"/>
          <w:lang w:eastAsia="zh-CN"/>
        </w:rPr>
        <w:t>，</w:t>
      </w:r>
      <w:r>
        <w:rPr>
          <w:rFonts w:hint="eastAsia"/>
          <w:highlight w:val="none"/>
          <w:lang w:val="en-US" w:eastAsia="zh-CN"/>
        </w:rPr>
        <w:t>提供业绩如下，可得0-20分。其中</w:t>
      </w:r>
      <w:r>
        <w:rPr>
          <w:highlight w:val="none"/>
        </w:rPr>
        <w:t>：</w:t>
      </w:r>
    </w:p>
    <w:p w14:paraId="5F786E4C">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ascii="宋体" w:hAnsi="宋体" w:eastAsia="宋体" w:cs="宋体"/>
          <w:highlight w:val="none"/>
        </w:rPr>
        <w:t>①</w:t>
      </w:r>
      <w:r>
        <w:rPr>
          <w:highlight w:val="none"/>
        </w:rPr>
        <w:t>累计</w:t>
      </w:r>
      <w:r>
        <w:rPr>
          <w:rFonts w:hint="eastAsia"/>
          <w:highlight w:val="none"/>
          <w:lang w:val="en-US" w:eastAsia="zh-CN"/>
        </w:rPr>
        <w:t>10</w:t>
      </w:r>
      <w:r>
        <w:rPr>
          <w:highlight w:val="none"/>
        </w:rPr>
        <w:t>0件及以上，得</w:t>
      </w:r>
      <w:r>
        <w:rPr>
          <w:rFonts w:hint="eastAsia"/>
          <w:highlight w:val="none"/>
          <w:lang w:val="en-US" w:eastAsia="zh-CN"/>
        </w:rPr>
        <w:t>20</w:t>
      </w:r>
      <w:r>
        <w:rPr>
          <w:highlight w:val="none"/>
        </w:rPr>
        <w:t>分；</w:t>
      </w:r>
    </w:p>
    <w:p w14:paraId="3D62D838">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default" w:ascii="宋体" w:hAnsi="宋体" w:eastAsia="宋体" w:cs="宋体"/>
          <w:highlight w:val="none"/>
        </w:rPr>
        <w:t>②</w:t>
      </w:r>
      <w:r>
        <w:rPr>
          <w:highlight w:val="none"/>
        </w:rPr>
        <w:t>累计</w:t>
      </w:r>
      <w:r>
        <w:rPr>
          <w:rFonts w:hint="eastAsia"/>
          <w:highlight w:val="none"/>
          <w:lang w:val="en-US" w:eastAsia="zh-CN"/>
        </w:rPr>
        <w:t>75—99</w:t>
      </w:r>
      <w:r>
        <w:rPr>
          <w:highlight w:val="none"/>
        </w:rPr>
        <w:t>件，得</w:t>
      </w:r>
      <w:r>
        <w:rPr>
          <w:rFonts w:hint="eastAsia"/>
          <w:highlight w:val="none"/>
          <w:lang w:val="en-US" w:eastAsia="zh-CN"/>
        </w:rPr>
        <w:t>15</w:t>
      </w:r>
      <w:r>
        <w:rPr>
          <w:highlight w:val="none"/>
        </w:rPr>
        <w:t>分；</w:t>
      </w:r>
    </w:p>
    <w:p w14:paraId="57384F4D">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default" w:ascii="宋体" w:hAnsi="宋体" w:eastAsia="宋体" w:cs="宋体"/>
          <w:highlight w:val="none"/>
        </w:rPr>
        <w:t>③</w:t>
      </w:r>
      <w:r>
        <w:rPr>
          <w:highlight w:val="none"/>
        </w:rPr>
        <w:t>累计</w:t>
      </w:r>
      <w:r>
        <w:rPr>
          <w:rFonts w:hint="eastAsia"/>
          <w:highlight w:val="none"/>
          <w:lang w:val="en-US" w:eastAsia="zh-CN"/>
        </w:rPr>
        <w:t>50—74</w:t>
      </w:r>
      <w:r>
        <w:rPr>
          <w:highlight w:val="none"/>
        </w:rPr>
        <w:t>件，得</w:t>
      </w:r>
      <w:r>
        <w:rPr>
          <w:rFonts w:hint="eastAsia"/>
          <w:highlight w:val="none"/>
          <w:lang w:val="en-US" w:eastAsia="zh-CN"/>
        </w:rPr>
        <w:t>10</w:t>
      </w:r>
      <w:r>
        <w:rPr>
          <w:highlight w:val="none"/>
        </w:rPr>
        <w:t>分；</w:t>
      </w:r>
    </w:p>
    <w:p w14:paraId="56CAFB59">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ascii="宋体" w:hAnsi="宋体" w:eastAsia="宋体" w:cs="宋体"/>
          <w:highlight w:val="none"/>
        </w:rPr>
        <w:t>④</w:t>
      </w:r>
      <w:r>
        <w:rPr>
          <w:highlight w:val="none"/>
        </w:rPr>
        <w:t>累计</w:t>
      </w:r>
      <w:r>
        <w:rPr>
          <w:rFonts w:hint="eastAsia"/>
          <w:highlight w:val="none"/>
          <w:lang w:val="en-US" w:eastAsia="zh-CN"/>
        </w:rPr>
        <w:t>25—49件</w:t>
      </w:r>
      <w:r>
        <w:rPr>
          <w:highlight w:val="none"/>
        </w:rPr>
        <w:t>，得</w:t>
      </w:r>
      <w:r>
        <w:rPr>
          <w:rFonts w:hint="eastAsia"/>
          <w:highlight w:val="none"/>
          <w:lang w:val="en-US" w:eastAsia="zh-CN"/>
        </w:rPr>
        <w:t>5</w:t>
      </w:r>
      <w:r>
        <w:rPr>
          <w:highlight w:val="none"/>
        </w:rPr>
        <w:t>分；</w:t>
      </w:r>
    </w:p>
    <w:p w14:paraId="5C939C7B">
      <w:pPr>
        <w:pageBreakBefore w:val="0"/>
        <w:widowControl/>
        <w:kinsoku/>
        <w:wordWrap/>
        <w:overflowPunct/>
        <w:topLinePunct w:val="0"/>
        <w:autoSpaceDE/>
        <w:autoSpaceDN/>
        <w:bidi w:val="0"/>
        <w:adjustRightInd/>
        <w:snapToGrid/>
        <w:spacing w:after="60" w:line="380" w:lineRule="exact"/>
        <w:ind w:firstLine="480"/>
        <w:textAlignment w:val="auto"/>
        <w:rPr>
          <w:rFonts w:hint="default" w:eastAsia="宋体"/>
          <w:highlight w:val="none"/>
          <w:lang w:val="en-US" w:eastAsia="zh-CN"/>
        </w:rPr>
      </w:pPr>
      <w:r>
        <w:rPr>
          <w:rFonts w:hint="eastAsia" w:ascii="宋体" w:hAnsi="宋体" w:eastAsia="宋体" w:cs="宋体"/>
          <w:highlight w:val="none"/>
        </w:rPr>
        <w:t>⑤</w:t>
      </w:r>
      <w:r>
        <w:rPr>
          <w:rFonts w:hint="eastAsia" w:cs="宋体"/>
          <w:highlight w:val="none"/>
          <w:lang w:val="en-US" w:eastAsia="zh-CN"/>
        </w:rPr>
        <w:t>累计1—24件，得1分；</w:t>
      </w:r>
    </w:p>
    <w:p w14:paraId="4F1DB12B">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rFonts w:hint="eastAsia" w:ascii="微软雅黑" w:hAnsi="微软雅黑" w:eastAsia="微软雅黑" w:cs="微软雅黑"/>
          <w:highlight w:val="none"/>
        </w:rPr>
        <w:t>⑥</w:t>
      </w:r>
      <w:r>
        <w:rPr>
          <w:highlight w:val="none"/>
        </w:rPr>
        <w:t>无同类案件业绩，得0分。</w:t>
      </w:r>
    </w:p>
    <w:p w14:paraId="782DD3D1">
      <w:pPr>
        <w:pageBreakBefore w:val="0"/>
        <w:widowControl/>
        <w:kinsoku/>
        <w:wordWrap/>
        <w:overflowPunct/>
        <w:topLinePunct w:val="0"/>
        <w:autoSpaceDE/>
        <w:autoSpaceDN/>
        <w:bidi w:val="0"/>
        <w:adjustRightInd/>
        <w:snapToGrid/>
        <w:spacing w:after="60" w:line="380" w:lineRule="exact"/>
        <w:ind w:firstLine="480"/>
        <w:textAlignment w:val="auto"/>
        <w:rPr>
          <w:rFonts w:hint="default" w:eastAsia="宋体"/>
          <w:highlight w:val="none"/>
          <w:lang w:val="en-US" w:eastAsia="zh-CN"/>
        </w:rPr>
      </w:pPr>
      <w:r>
        <w:rPr>
          <w:highlight w:val="none"/>
        </w:rPr>
        <w:t>2）</w:t>
      </w:r>
      <w:r>
        <w:rPr>
          <w:rFonts w:hint="eastAsia"/>
          <w:highlight w:val="none"/>
          <w:lang w:val="en-US" w:eastAsia="zh-CN"/>
        </w:rPr>
        <w:t>若上述业绩为国有股份制担保公司及下属子公司同类案件，可在上述得分的基础上另加10分，无同类案件业绩不加分。</w:t>
      </w:r>
    </w:p>
    <w:p w14:paraId="52658823">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佐证要求：提供完整案件明细清单（需含案件名称、标的、代理结果；当事人信息需隐藏），并加盖律所公章及真实性承诺，无明细、无承诺不予计分。</w:t>
      </w:r>
    </w:p>
    <w:p w14:paraId="4385AD97">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2.重大疑难案件业绩（4分）</w:t>
      </w:r>
    </w:p>
    <w:p w14:paraId="06162A81">
      <w:pPr>
        <w:pageBreakBefore w:val="0"/>
        <w:widowControl/>
        <w:kinsoku/>
        <w:wordWrap/>
        <w:overflowPunct/>
        <w:topLinePunct w:val="0"/>
        <w:autoSpaceDE/>
        <w:autoSpaceDN/>
        <w:bidi w:val="0"/>
        <w:adjustRightInd/>
        <w:snapToGrid/>
        <w:spacing w:after="60" w:line="380" w:lineRule="exact"/>
        <w:ind w:firstLine="480"/>
        <w:textAlignment w:val="auto"/>
        <w:rPr>
          <w:rFonts w:hint="eastAsia" w:eastAsia="宋体"/>
          <w:highlight w:val="none"/>
          <w:lang w:eastAsia="zh-CN"/>
        </w:rPr>
      </w:pPr>
      <w:r>
        <w:rPr>
          <w:highlight w:val="none"/>
        </w:rPr>
        <w:t>近3年内</w:t>
      </w:r>
      <w:r>
        <w:rPr>
          <w:rFonts w:hint="eastAsia"/>
          <w:highlight w:val="none"/>
          <w:lang w:val="en-US" w:eastAsia="zh-CN"/>
        </w:rPr>
        <w:t>主办律师</w:t>
      </w:r>
      <w:r>
        <w:rPr>
          <w:highlight w:val="none"/>
        </w:rPr>
        <w:t>承办以下重大疑难类案件，可累计计分</w:t>
      </w:r>
      <w:r>
        <w:rPr>
          <w:rFonts w:hint="eastAsia"/>
          <w:highlight w:val="none"/>
          <w:lang w:eastAsia="zh-CN"/>
        </w:rPr>
        <w:t>，</w:t>
      </w:r>
      <w:r>
        <w:rPr>
          <w:highlight w:val="none"/>
        </w:rPr>
        <w:t>最高累计得4分</w:t>
      </w:r>
      <w:r>
        <w:rPr>
          <w:rFonts w:hint="eastAsia"/>
          <w:highlight w:val="none"/>
          <w:lang w:eastAsia="zh-CN"/>
        </w:rPr>
        <w:t>：</w:t>
      </w:r>
    </w:p>
    <w:p w14:paraId="25F197C9">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1）单案标的</w:t>
      </w:r>
      <w:r>
        <w:rPr>
          <w:rFonts w:hint="eastAsia"/>
          <w:highlight w:val="none"/>
          <w:lang w:val="en-US" w:eastAsia="zh-CN"/>
        </w:rPr>
        <w:t>3</w:t>
      </w:r>
      <w:r>
        <w:rPr>
          <w:highlight w:val="none"/>
        </w:rPr>
        <w:t>00万元以上担保代偿/类金融追偿案件，每提供1例得2分；</w:t>
      </w:r>
    </w:p>
    <w:p w14:paraId="73201A11">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2）终本后成功恢复执行并实现现金回款案件，每提供1例得2分；</w:t>
      </w:r>
    </w:p>
    <w:p w14:paraId="6E814999">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3）破产清算/重整中成功实现优先受偿案件，每提供1例得2分。</w:t>
      </w:r>
    </w:p>
    <w:p w14:paraId="5D7D6DB0">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佐证要求：必须提供对应案件判决书、裁定书、回款凭证、执行结案文书等有效佐证材料，缺一不予计分。</w:t>
      </w:r>
    </w:p>
    <w:p w14:paraId="05DCDE92">
      <w:pPr>
        <w:pageBreakBefore w:val="0"/>
        <w:widowControl/>
        <w:kinsoku/>
        <w:wordWrap/>
        <w:overflowPunct/>
        <w:topLinePunct w:val="0"/>
        <w:autoSpaceDE/>
        <w:autoSpaceDN/>
        <w:bidi w:val="0"/>
        <w:adjustRightInd/>
        <w:snapToGrid/>
        <w:spacing w:line="380" w:lineRule="exact"/>
        <w:ind w:firstLine="480"/>
        <w:textAlignment w:val="auto"/>
        <w:rPr>
          <w:highlight w:val="none"/>
        </w:rPr>
      </w:pPr>
      <w:r>
        <w:rPr>
          <w:b/>
          <w:highlight w:val="none"/>
        </w:rPr>
        <w:t>3.</w:t>
      </w:r>
      <w:r>
        <w:rPr>
          <w:rFonts w:hint="eastAsia"/>
          <w:b/>
          <w:highlight w:val="none"/>
          <w:lang w:val="en-US" w:eastAsia="zh-CN"/>
        </w:rPr>
        <w:t>律所</w:t>
      </w:r>
      <w:r>
        <w:rPr>
          <w:b/>
          <w:highlight w:val="none"/>
        </w:rPr>
        <w:t>行业声誉（1分）</w:t>
      </w:r>
    </w:p>
    <w:p w14:paraId="658186EE">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律所或总所具备以下情形之一的，得1分：</w:t>
      </w:r>
    </w:p>
    <w:p w14:paraId="098285C1">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1）入围中国银行间市场交易商协会律师事务所名单；</w:t>
      </w:r>
    </w:p>
    <w:p w14:paraId="594D759A">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2）入围安徽省或合肥市国有企业法律服务库；</w:t>
      </w:r>
    </w:p>
    <w:p w14:paraId="6518CAC7">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3）近3年获得市级及以上司法行政部门或律师协会表彰。</w:t>
      </w:r>
    </w:p>
    <w:p w14:paraId="173670D1">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以上任满足1项即得1分，最高1分。不存在以上情形的，不得分。</w:t>
      </w:r>
    </w:p>
    <w:p w14:paraId="2BAF4CD2">
      <w:pPr>
        <w:pageBreakBefore w:val="0"/>
        <w:widowControl/>
        <w:kinsoku/>
        <w:wordWrap/>
        <w:overflowPunct/>
        <w:topLinePunct w:val="0"/>
        <w:autoSpaceDE/>
        <w:autoSpaceDN/>
        <w:bidi w:val="0"/>
        <w:adjustRightInd/>
        <w:snapToGrid/>
        <w:spacing w:line="380" w:lineRule="exact"/>
        <w:ind w:firstLine="480"/>
        <w:textAlignment w:val="auto"/>
        <w:rPr>
          <w:b/>
          <w:sz w:val="28"/>
          <w:szCs w:val="28"/>
        </w:rPr>
      </w:pPr>
      <w:r>
        <w:rPr>
          <w:b/>
          <w:sz w:val="28"/>
          <w:szCs w:val="28"/>
        </w:rPr>
        <w:t>（三）律所服务方案（0-1</w:t>
      </w:r>
      <w:r>
        <w:rPr>
          <w:rFonts w:hint="eastAsia"/>
          <w:b/>
          <w:sz w:val="28"/>
          <w:szCs w:val="28"/>
          <w:lang w:val="en-US" w:eastAsia="zh-CN"/>
        </w:rPr>
        <w:t>5</w:t>
      </w:r>
      <w:r>
        <w:rPr>
          <w:b/>
          <w:sz w:val="28"/>
          <w:szCs w:val="28"/>
        </w:rPr>
        <w:t>分）</w:t>
      </w:r>
    </w:p>
    <w:p w14:paraId="5EF9CB1A">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根据参选单位针对本次项目提供的专属、可落地增值服务方案综合打分，无通用模板化内容，重点考察服务实用性、针对性、落地性</w:t>
      </w:r>
      <w:r>
        <w:rPr>
          <w:rFonts w:hint="eastAsia"/>
          <w:highlight w:val="none"/>
          <w:lang w:eastAsia="zh-CN"/>
        </w:rPr>
        <w:t>，如按</w:t>
      </w:r>
      <w:r>
        <w:rPr>
          <w:rFonts w:hint="eastAsia"/>
          <w:highlight w:val="none"/>
          <w:lang w:val="en-US" w:eastAsia="zh-CN"/>
        </w:rPr>
        <w:t>节点核对</w:t>
      </w:r>
      <w:r>
        <w:rPr>
          <w:rFonts w:hint="eastAsia"/>
          <w:highlight w:val="none"/>
          <w:lang w:eastAsia="zh-CN"/>
        </w:rPr>
        <w:t>代理案件进展等（评分委员会根据投标文件酌情打分）。</w:t>
      </w:r>
    </w:p>
    <w:p w14:paraId="2F6D2C45">
      <w:pPr>
        <w:pageBreakBefore w:val="0"/>
        <w:widowControl/>
        <w:kinsoku/>
        <w:wordWrap/>
        <w:overflowPunct/>
        <w:topLinePunct w:val="0"/>
        <w:autoSpaceDE/>
        <w:autoSpaceDN/>
        <w:bidi w:val="0"/>
        <w:adjustRightInd/>
        <w:snapToGrid/>
        <w:spacing w:line="380" w:lineRule="exact"/>
        <w:ind w:firstLine="480"/>
        <w:textAlignment w:val="auto"/>
        <w:rPr>
          <w:b/>
          <w:sz w:val="28"/>
          <w:szCs w:val="28"/>
        </w:rPr>
      </w:pPr>
      <w:r>
        <w:rPr>
          <w:b/>
          <w:sz w:val="28"/>
          <w:szCs w:val="28"/>
        </w:rPr>
        <w:t>（四）报价方案（0-10分）</w:t>
      </w:r>
    </w:p>
    <w:p w14:paraId="29D4B853">
      <w:pPr>
        <w:pageBreakBefore w:val="0"/>
        <w:widowControl/>
        <w:kinsoku/>
        <w:wordWrap/>
        <w:overflowPunct/>
        <w:topLinePunct w:val="0"/>
        <w:autoSpaceDE/>
        <w:autoSpaceDN/>
        <w:bidi w:val="0"/>
        <w:adjustRightInd/>
        <w:snapToGrid/>
        <w:spacing w:after="60" w:line="380" w:lineRule="exact"/>
        <w:ind w:firstLine="480"/>
        <w:textAlignment w:val="auto"/>
        <w:rPr>
          <w:highlight w:val="none"/>
        </w:rPr>
      </w:pPr>
      <w:r>
        <w:rPr>
          <w:highlight w:val="none"/>
        </w:rPr>
        <w:t>报价方案需含标段中所列各个项目报价及汇总价</w:t>
      </w:r>
      <w:r>
        <w:rPr>
          <w:rFonts w:hint="eastAsia"/>
          <w:highlight w:val="none"/>
          <w:lang w:eastAsia="zh-CN"/>
        </w:rPr>
        <w:t>，</w:t>
      </w:r>
      <w:r>
        <w:rPr>
          <w:highlight w:val="none"/>
        </w:rPr>
        <w:t>报价需清晰、固定、</w:t>
      </w:r>
      <w:r>
        <w:rPr>
          <w:rFonts w:hint="eastAsia"/>
          <w:highlight w:val="none"/>
          <w:lang w:eastAsia="zh-CN"/>
        </w:rPr>
        <w:t>无隐性收费，</w:t>
      </w:r>
      <w:r>
        <w:rPr>
          <w:rFonts w:hint="eastAsia"/>
          <w:highlight w:val="none"/>
          <w:lang w:val="en-US" w:eastAsia="zh-CN"/>
        </w:rPr>
        <w:t>报价计分以汇总价为依据</w:t>
      </w:r>
      <w:r>
        <w:rPr>
          <w:highlight w:val="none"/>
        </w:rPr>
        <w:t>。</w:t>
      </w:r>
    </w:p>
    <w:p w14:paraId="46001C05">
      <w:pPr>
        <w:pageBreakBefore w:val="0"/>
        <w:widowControl/>
        <w:kinsoku/>
        <w:wordWrap/>
        <w:overflowPunct/>
        <w:topLinePunct w:val="0"/>
        <w:autoSpaceDE/>
        <w:autoSpaceDN/>
        <w:bidi w:val="0"/>
        <w:adjustRightInd/>
        <w:snapToGrid/>
        <w:spacing w:line="380" w:lineRule="exact"/>
        <w:ind w:firstLine="480"/>
        <w:textAlignment w:val="auto"/>
      </w:pPr>
      <w:r>
        <w:rPr>
          <w:b/>
        </w:rPr>
        <w:t>1.计分公式</w:t>
      </w:r>
    </w:p>
    <w:p w14:paraId="0D66D028">
      <w:pPr>
        <w:pageBreakBefore w:val="0"/>
        <w:widowControl/>
        <w:kinsoku/>
        <w:wordWrap/>
        <w:overflowPunct/>
        <w:topLinePunct w:val="0"/>
        <w:autoSpaceDE/>
        <w:autoSpaceDN/>
        <w:bidi w:val="0"/>
        <w:adjustRightInd/>
        <w:snapToGrid/>
        <w:spacing w:after="60" w:line="380" w:lineRule="exact"/>
        <w:ind w:firstLine="480"/>
        <w:textAlignment w:val="auto"/>
      </w:pPr>
      <w:r>
        <w:t>报价得分 = 10 ×（有效最低报价 ÷ 供应商报价），计算结果统一四舍五入保留小数点后两位，第三位四舍五入。</w:t>
      </w:r>
    </w:p>
    <w:p w14:paraId="10E0AE07">
      <w:pPr>
        <w:pageBreakBefore w:val="0"/>
        <w:widowControl/>
        <w:kinsoku/>
        <w:wordWrap/>
        <w:overflowPunct/>
        <w:topLinePunct w:val="0"/>
        <w:autoSpaceDE/>
        <w:autoSpaceDN/>
        <w:bidi w:val="0"/>
        <w:adjustRightInd/>
        <w:snapToGrid/>
        <w:spacing w:line="380" w:lineRule="exact"/>
        <w:ind w:firstLine="480"/>
        <w:textAlignment w:val="auto"/>
      </w:pPr>
      <w:r>
        <w:rPr>
          <w:b/>
        </w:rPr>
        <w:t>2.评审定义及规则</w:t>
      </w:r>
    </w:p>
    <w:p w14:paraId="35B47795">
      <w:pPr>
        <w:pageBreakBefore w:val="0"/>
        <w:widowControl/>
        <w:kinsoku/>
        <w:wordWrap/>
        <w:overflowPunct/>
        <w:topLinePunct w:val="0"/>
        <w:autoSpaceDE/>
        <w:autoSpaceDN/>
        <w:bidi w:val="0"/>
        <w:adjustRightInd/>
        <w:snapToGrid/>
        <w:spacing w:after="60" w:line="380" w:lineRule="exact"/>
        <w:ind w:firstLine="480"/>
        <w:textAlignment w:val="auto"/>
      </w:pPr>
      <w:r>
        <w:t>1）有效最低报价：本次比选所有有效供应商中的最低报价金额；</w:t>
      </w:r>
    </w:p>
    <w:p w14:paraId="19EB7EA4">
      <w:pPr>
        <w:pageBreakBefore w:val="0"/>
        <w:widowControl/>
        <w:kinsoku/>
        <w:wordWrap/>
        <w:overflowPunct/>
        <w:topLinePunct w:val="0"/>
        <w:autoSpaceDE/>
        <w:autoSpaceDN/>
        <w:bidi w:val="0"/>
        <w:adjustRightInd/>
        <w:snapToGrid/>
        <w:spacing w:after="60" w:line="380" w:lineRule="exact"/>
        <w:ind w:firstLine="480"/>
        <w:textAlignment w:val="auto"/>
      </w:pPr>
      <w:r>
        <w:t>2）无效报价：供应商报价高于本次项目采购控制价的，直接认定为无效响应，不参与本次所有评审计分；</w:t>
      </w:r>
    </w:p>
    <w:p w14:paraId="772BF5CF">
      <w:pPr>
        <w:pageBreakBefore w:val="0"/>
        <w:widowControl/>
        <w:kinsoku/>
        <w:wordWrap/>
        <w:overflowPunct/>
        <w:topLinePunct w:val="0"/>
        <w:autoSpaceDE/>
        <w:autoSpaceDN/>
        <w:bidi w:val="0"/>
        <w:adjustRightInd/>
        <w:snapToGrid/>
        <w:spacing w:after="60" w:line="380" w:lineRule="exact"/>
        <w:ind w:firstLine="480"/>
        <w:textAlignment w:val="auto"/>
      </w:pPr>
      <w:r>
        <w:t>3）得分逻辑：有效报价越低，得分越高，全场最低有效报价供应商得满分10.00分，其余供应商按比例折算计分。</w:t>
      </w:r>
    </w:p>
    <w:p w14:paraId="27A89691">
      <w:pPr>
        <w:pStyle w:val="3"/>
        <w:pageBreakBefore w:val="0"/>
        <w:widowControl/>
        <w:kinsoku/>
        <w:wordWrap/>
        <w:overflowPunct/>
        <w:topLinePunct w:val="0"/>
        <w:autoSpaceDE/>
        <w:autoSpaceDN/>
        <w:bidi w:val="0"/>
        <w:adjustRightInd/>
        <w:snapToGrid/>
        <w:spacing w:line="380" w:lineRule="exact"/>
        <w:textAlignment w:val="auto"/>
      </w:pPr>
      <w:r>
        <w:t>五、通用约定</w:t>
      </w:r>
    </w:p>
    <w:p w14:paraId="7B4309F1">
      <w:pPr>
        <w:pageBreakBefore w:val="0"/>
        <w:widowControl/>
        <w:kinsoku/>
        <w:wordWrap/>
        <w:overflowPunct/>
        <w:topLinePunct w:val="0"/>
        <w:autoSpaceDE/>
        <w:autoSpaceDN/>
        <w:bidi w:val="0"/>
        <w:adjustRightInd/>
        <w:snapToGrid/>
        <w:spacing w:after="60" w:line="380" w:lineRule="exact"/>
        <w:ind w:firstLine="480"/>
        <w:textAlignment w:val="auto"/>
      </w:pPr>
      <w:r>
        <w:t>（一）本项目不接受联合体投标，不允许项目转包、分包。</w:t>
      </w:r>
    </w:p>
    <w:p w14:paraId="398C6152">
      <w:pPr>
        <w:pageBreakBefore w:val="0"/>
        <w:widowControl/>
        <w:kinsoku/>
        <w:wordWrap/>
        <w:overflowPunct/>
        <w:topLinePunct w:val="0"/>
        <w:autoSpaceDE/>
        <w:autoSpaceDN/>
        <w:bidi w:val="0"/>
        <w:adjustRightInd/>
        <w:snapToGrid/>
        <w:spacing w:after="60" w:line="380" w:lineRule="exact"/>
        <w:ind w:firstLine="480"/>
        <w:textAlignment w:val="auto"/>
      </w:pPr>
      <w:r>
        <w:t>（二）服务期间不得擅自更换核心服务人员，更换须提前征得项目采购单位同意。</w:t>
      </w:r>
    </w:p>
    <w:p w14:paraId="2332618C">
      <w:pPr>
        <w:pageBreakBefore w:val="0"/>
        <w:widowControl/>
        <w:kinsoku/>
        <w:wordWrap/>
        <w:overflowPunct/>
        <w:topLinePunct w:val="0"/>
        <w:autoSpaceDE/>
        <w:autoSpaceDN/>
        <w:bidi w:val="0"/>
        <w:adjustRightInd/>
        <w:snapToGrid/>
        <w:spacing w:after="60" w:line="380" w:lineRule="exact"/>
        <w:ind w:firstLine="480"/>
        <w:textAlignment w:val="auto"/>
      </w:pPr>
      <w:r>
        <w:t>（三）本项目所有服务行为严格遵守国有企业采购合规管理、廉政建设相关规定。</w:t>
      </w:r>
    </w:p>
    <w:p w14:paraId="2C29275E">
      <w:pPr>
        <w:pageBreakBefore w:val="0"/>
        <w:widowControl/>
        <w:kinsoku/>
        <w:wordWrap/>
        <w:overflowPunct/>
        <w:topLinePunct w:val="0"/>
        <w:autoSpaceDE/>
        <w:autoSpaceDN/>
        <w:bidi w:val="0"/>
        <w:adjustRightInd/>
        <w:snapToGrid/>
        <w:spacing w:line="440" w:lineRule="exact"/>
        <w:textAlignment w:val="auto"/>
      </w:pPr>
    </w:p>
    <w:p w14:paraId="0C681104">
      <w:pPr>
        <w:pageBreakBefore w:val="0"/>
        <w:widowControl/>
        <w:kinsoku/>
        <w:wordWrap/>
        <w:overflowPunct/>
        <w:topLinePunct w:val="0"/>
        <w:autoSpaceDE/>
        <w:autoSpaceDN/>
        <w:bidi w:val="0"/>
        <w:adjustRightInd/>
        <w:snapToGrid/>
        <w:spacing w:line="440" w:lineRule="exact"/>
        <w:textAlignment w:val="auto"/>
      </w:pPr>
    </w:p>
    <w:p w14:paraId="2F0A2F6E"/>
    <w:p w14:paraId="71D5C445"/>
    <w:p w14:paraId="044CF06C"/>
    <w:p w14:paraId="609C016F">
      <w:bookmarkStart w:id="0" w:name="_GoBack"/>
      <w:bookmarkEnd w:id="0"/>
    </w:p>
    <w:p w14:paraId="14B008C3"/>
    <w:p w14:paraId="3B9C5379">
      <w:pPr>
        <w:rPr>
          <w:rFonts w:hint="eastAsia"/>
          <w:b/>
          <w:bCs/>
          <w:lang w:val="en-US" w:eastAsia="zh-CN"/>
        </w:rPr>
      </w:pPr>
      <w:r>
        <w:rPr>
          <w:rFonts w:hint="eastAsia"/>
          <w:b/>
          <w:bCs/>
          <w:lang w:val="en-US" w:eastAsia="zh-CN"/>
        </w:rPr>
        <w:t>采购项目及报价上限明细：</w:t>
      </w:r>
    </w:p>
    <w:tbl>
      <w:tblPr>
        <w:tblStyle w:val="32"/>
        <w:tblW w:w="871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5"/>
        <w:gridCol w:w="3945"/>
        <w:gridCol w:w="2085"/>
        <w:gridCol w:w="1770"/>
      </w:tblGrid>
      <w:tr w14:paraId="66359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5A15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8EB3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代偿项目</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4DA3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代偿金额</w:t>
            </w:r>
            <w:r>
              <w:rPr>
                <w:rFonts w:hint="eastAsia" w:cs="宋体"/>
                <w:b/>
                <w:bCs/>
                <w:i w:val="0"/>
                <w:iCs w:val="0"/>
                <w:color w:val="000000"/>
                <w:kern w:val="0"/>
                <w:sz w:val="18"/>
                <w:szCs w:val="18"/>
                <w:u w:val="none"/>
                <w:lang w:val="en-US" w:eastAsia="zh-CN" w:bidi="ar"/>
              </w:rPr>
              <w:t>（单位：元）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901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采购金额上限</w:t>
            </w:r>
            <w:r>
              <w:rPr>
                <w:rFonts w:hint="eastAsia" w:cs="宋体"/>
                <w:b/>
                <w:bCs/>
                <w:i w:val="0"/>
                <w:iCs w:val="0"/>
                <w:color w:val="000000"/>
                <w:kern w:val="0"/>
                <w:sz w:val="18"/>
                <w:szCs w:val="18"/>
                <w:u w:val="none"/>
                <w:lang w:val="en-US" w:eastAsia="zh-CN" w:bidi="ar"/>
              </w:rPr>
              <w:t>（单位：元）</w:t>
            </w:r>
          </w:p>
        </w:tc>
      </w:tr>
      <w:tr w14:paraId="6EB6A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DD1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0A3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装饰工程有限公司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8B18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1447214.04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62AF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12200 </w:t>
            </w:r>
          </w:p>
        </w:tc>
      </w:tr>
      <w:tr w14:paraId="6EFA2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D13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D32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商贸有限公司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3DF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200858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C38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1500 </w:t>
            </w:r>
          </w:p>
        </w:tc>
      </w:tr>
      <w:tr w14:paraId="5BAF4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F17D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E1EC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设备有限公司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57FD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875886.57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45A7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8400 </w:t>
            </w:r>
          </w:p>
        </w:tc>
      </w:tr>
      <w:tr w14:paraId="499D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C2BD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D1C1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百货商行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CB49E">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1045834.4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CE63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9800 </w:t>
            </w:r>
          </w:p>
        </w:tc>
      </w:tr>
      <w:tr w14:paraId="6B10A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53D8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9172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木材加工厂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507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F07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2900 </w:t>
            </w:r>
          </w:p>
        </w:tc>
      </w:tr>
      <w:tr w14:paraId="0CB8B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3FAC">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E8DF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广告设计服务部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330E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586492.47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49DE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5800 </w:t>
            </w:r>
          </w:p>
        </w:tc>
      </w:tr>
      <w:tr w14:paraId="36754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C35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C7BE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包河区</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百货商行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FA4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161056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749F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1000 </w:t>
            </w:r>
          </w:p>
        </w:tc>
      </w:tr>
      <w:tr w14:paraId="1155D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644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BCA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合肥</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科技服务有限公司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C827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166144.61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9357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1000 </w:t>
            </w:r>
          </w:p>
        </w:tc>
      </w:tr>
      <w:tr w14:paraId="3E32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AEF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4BF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安徽省</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机电设备有限公司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31CA">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554536.52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B0DD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5500 </w:t>
            </w:r>
          </w:p>
        </w:tc>
      </w:tr>
      <w:tr w14:paraId="1888D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A641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961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环保科技有限公司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087D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3812033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D40E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26400 </w:t>
            </w:r>
          </w:p>
        </w:tc>
      </w:tr>
      <w:tr w14:paraId="62519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029D2">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70E4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合肥</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餐饮管理有限公司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4F30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804045.23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CC1B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7800 </w:t>
            </w:r>
          </w:p>
        </w:tc>
      </w:tr>
      <w:tr w14:paraId="0D1BB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B2217">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CF9F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安徽</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餐饮管理有限公司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F4B3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B7C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7800 </w:t>
            </w:r>
          </w:p>
        </w:tc>
      </w:tr>
      <w:tr w14:paraId="3600A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9A85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F81E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安徽</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建设工程有限公司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F5355">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1202800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A51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10800 </w:t>
            </w:r>
          </w:p>
        </w:tc>
      </w:tr>
      <w:tr w14:paraId="1E70D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A86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8B1B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夏</w:t>
            </w:r>
            <w:r>
              <w:rPr>
                <w:rFonts w:hint="eastAsia" w:cs="宋体"/>
                <w:i w:val="0"/>
                <w:iCs w:val="0"/>
                <w:color w:val="000000" w:themeColor="text1"/>
                <w:kern w:val="0"/>
                <w:sz w:val="21"/>
                <w:szCs w:val="21"/>
                <w:u w:val="none"/>
                <w:lang w:val="en-US" w:eastAsia="zh-CN" w:bidi="ar"/>
                <w14:textFill>
                  <w14:solidFill>
                    <w14:schemeClr w14:val="tx1"/>
                  </w14:solidFill>
                </w14:textFill>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13CE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320893.33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D6E7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2900 </w:t>
            </w:r>
          </w:p>
        </w:tc>
      </w:tr>
      <w:tr w14:paraId="0B87C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F791C">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490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玻璃有限公司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C0BE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1203550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BC1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10800 </w:t>
            </w:r>
          </w:p>
        </w:tc>
      </w:tr>
      <w:tr w14:paraId="37274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5CE0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1A7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合肥市包河区</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日用品商行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ED6AC">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220955.02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543E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1700 </w:t>
            </w:r>
          </w:p>
        </w:tc>
      </w:tr>
      <w:tr w14:paraId="2F278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B47B">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B0A9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合肥市经开区</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百货店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A6E9">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642112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E951">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6300 </w:t>
            </w:r>
          </w:p>
        </w:tc>
      </w:tr>
      <w:tr w14:paraId="39D5E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9E41C">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07A3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安徽</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材料有限公司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8946">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534133.67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C3323">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5400 </w:t>
            </w:r>
          </w:p>
        </w:tc>
      </w:tr>
      <w:tr w14:paraId="29136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4CE50">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2AD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合肥</w:t>
            </w: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商贸有限公司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3F49">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235430.34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D8C4">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1900 </w:t>
            </w:r>
          </w:p>
        </w:tc>
      </w:tr>
      <w:tr w14:paraId="34C71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FBE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10F6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u w:val="none"/>
                <w14:textFill>
                  <w14:solidFill>
                    <w14:schemeClr w14:val="tx1"/>
                  </w14:solidFill>
                </w14:textFill>
              </w:rPr>
            </w:pPr>
            <w:r>
              <w:rPr>
                <w:rFonts w:hint="eastAsia" w:cs="宋体"/>
                <w:i w:val="0"/>
                <w:iCs w:val="0"/>
                <w:color w:val="000000" w:themeColor="text1"/>
                <w:kern w:val="0"/>
                <w:sz w:val="21"/>
                <w:szCs w:val="21"/>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新型建材有限公司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8664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401267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DCD7F">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3900 </w:t>
            </w:r>
          </w:p>
        </w:tc>
      </w:tr>
      <w:tr w14:paraId="44698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BA8A">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289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2A1AD">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15535242.2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5C308">
            <w:pPr>
              <w:keepNext w:val="0"/>
              <w:keepLines w:val="0"/>
              <w:widowControl/>
              <w:suppressLineNumbers w:val="0"/>
              <w:jc w:val="center"/>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133800</w:t>
            </w:r>
          </w:p>
        </w:tc>
      </w:tr>
    </w:tbl>
    <w:p w14:paraId="60D5907F">
      <w:pPr>
        <w:rPr>
          <w:rFonts w:hint="default"/>
          <w:lang w:val="en-US" w:eastAsia="zh-CN"/>
        </w:rPr>
      </w:pPr>
    </w:p>
    <w:sectPr>
      <w:footerReference r:id="rId5" w:type="default"/>
      <w:pgSz w:w="11906" w:h="16838"/>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001CA">
    <w:pPr>
      <w:pStyle w:val="24"/>
      <w:jc w:val="center"/>
    </w:pPr>
    <w:r>
      <w:t xml:space="preserve">第 </w:t>
    </w:r>
    <w:r>
      <w:fldChar w:fldCharType="begin"/>
    </w:r>
    <w:r>
      <w:instrText xml:space="preserve">PAGE</w:instrText>
    </w:r>
    <w:r>
      <w:fldChar w:fldCharType="end"/>
    </w:r>
    <w: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CD79DA"/>
    <w:rsid w:val="00FC693F"/>
    <w:rsid w:val="017E2971"/>
    <w:rsid w:val="01A3073B"/>
    <w:rsid w:val="01B877BF"/>
    <w:rsid w:val="020277A6"/>
    <w:rsid w:val="02477318"/>
    <w:rsid w:val="02777BFD"/>
    <w:rsid w:val="03351867"/>
    <w:rsid w:val="034D4E02"/>
    <w:rsid w:val="035C5045"/>
    <w:rsid w:val="05DE1D42"/>
    <w:rsid w:val="06035C4C"/>
    <w:rsid w:val="067526A6"/>
    <w:rsid w:val="06F15AA5"/>
    <w:rsid w:val="072B0FB7"/>
    <w:rsid w:val="0749768F"/>
    <w:rsid w:val="077A1F3E"/>
    <w:rsid w:val="082C3238"/>
    <w:rsid w:val="08965FEA"/>
    <w:rsid w:val="098826F0"/>
    <w:rsid w:val="0A8B6BDA"/>
    <w:rsid w:val="0AD16319"/>
    <w:rsid w:val="0B531FB6"/>
    <w:rsid w:val="0B9D6C6E"/>
    <w:rsid w:val="0C7156BE"/>
    <w:rsid w:val="0C7451AE"/>
    <w:rsid w:val="10945E1E"/>
    <w:rsid w:val="11A87ED8"/>
    <w:rsid w:val="11D30BC8"/>
    <w:rsid w:val="12D963BA"/>
    <w:rsid w:val="13404ED0"/>
    <w:rsid w:val="148368D6"/>
    <w:rsid w:val="15082937"/>
    <w:rsid w:val="156A0E93"/>
    <w:rsid w:val="15853F88"/>
    <w:rsid w:val="15913B28"/>
    <w:rsid w:val="169E79F7"/>
    <w:rsid w:val="176C53FF"/>
    <w:rsid w:val="179606CE"/>
    <w:rsid w:val="179E57D5"/>
    <w:rsid w:val="17A96653"/>
    <w:rsid w:val="17DD454F"/>
    <w:rsid w:val="184400AB"/>
    <w:rsid w:val="18E972E3"/>
    <w:rsid w:val="19455539"/>
    <w:rsid w:val="198C07E7"/>
    <w:rsid w:val="1A4E703E"/>
    <w:rsid w:val="1B0D514B"/>
    <w:rsid w:val="1B6E5FB3"/>
    <w:rsid w:val="1B79458F"/>
    <w:rsid w:val="1D8F0099"/>
    <w:rsid w:val="1E0068A1"/>
    <w:rsid w:val="1E242281"/>
    <w:rsid w:val="1E5B441F"/>
    <w:rsid w:val="1E6A4663"/>
    <w:rsid w:val="1F114ADE"/>
    <w:rsid w:val="219263AA"/>
    <w:rsid w:val="21983295"/>
    <w:rsid w:val="22325497"/>
    <w:rsid w:val="22C73E32"/>
    <w:rsid w:val="235651B5"/>
    <w:rsid w:val="23DC56BB"/>
    <w:rsid w:val="242332EA"/>
    <w:rsid w:val="2561056D"/>
    <w:rsid w:val="25FF7D86"/>
    <w:rsid w:val="26AB75C6"/>
    <w:rsid w:val="276F4A98"/>
    <w:rsid w:val="285A74F6"/>
    <w:rsid w:val="28D0604B"/>
    <w:rsid w:val="28D56B7C"/>
    <w:rsid w:val="29C56BF1"/>
    <w:rsid w:val="29DB481C"/>
    <w:rsid w:val="2A4C62BB"/>
    <w:rsid w:val="2B30453E"/>
    <w:rsid w:val="2BDD6474"/>
    <w:rsid w:val="2CEA709A"/>
    <w:rsid w:val="2D8C1F00"/>
    <w:rsid w:val="2E2C5491"/>
    <w:rsid w:val="2E383E35"/>
    <w:rsid w:val="2E47051C"/>
    <w:rsid w:val="2ED43593"/>
    <w:rsid w:val="302208F9"/>
    <w:rsid w:val="33A15FD9"/>
    <w:rsid w:val="33F16F60"/>
    <w:rsid w:val="343E6A61"/>
    <w:rsid w:val="34BB131C"/>
    <w:rsid w:val="35956011"/>
    <w:rsid w:val="35F25212"/>
    <w:rsid w:val="35FB2318"/>
    <w:rsid w:val="36A75FFC"/>
    <w:rsid w:val="36FF3742"/>
    <w:rsid w:val="374B2E2B"/>
    <w:rsid w:val="382D42DF"/>
    <w:rsid w:val="384F06F9"/>
    <w:rsid w:val="3870241E"/>
    <w:rsid w:val="39E3734B"/>
    <w:rsid w:val="3A3C4CAD"/>
    <w:rsid w:val="3A53067E"/>
    <w:rsid w:val="3BB0325D"/>
    <w:rsid w:val="3C1852A6"/>
    <w:rsid w:val="3E261EFC"/>
    <w:rsid w:val="40D43E92"/>
    <w:rsid w:val="41195D48"/>
    <w:rsid w:val="41326E0A"/>
    <w:rsid w:val="41362456"/>
    <w:rsid w:val="416074D3"/>
    <w:rsid w:val="43A01E09"/>
    <w:rsid w:val="441647C1"/>
    <w:rsid w:val="4484797D"/>
    <w:rsid w:val="449C4CC6"/>
    <w:rsid w:val="44DF2E05"/>
    <w:rsid w:val="45FB77CB"/>
    <w:rsid w:val="46C44060"/>
    <w:rsid w:val="47A520E4"/>
    <w:rsid w:val="47BC5F5B"/>
    <w:rsid w:val="482374AD"/>
    <w:rsid w:val="496E6505"/>
    <w:rsid w:val="49B54134"/>
    <w:rsid w:val="49ED38CE"/>
    <w:rsid w:val="4A0D5D1E"/>
    <w:rsid w:val="4A6C6EE9"/>
    <w:rsid w:val="4A9F72BE"/>
    <w:rsid w:val="4AA30431"/>
    <w:rsid w:val="4D1C24B3"/>
    <w:rsid w:val="4DCD7CE8"/>
    <w:rsid w:val="50546455"/>
    <w:rsid w:val="529671F9"/>
    <w:rsid w:val="539B25ED"/>
    <w:rsid w:val="541F321E"/>
    <w:rsid w:val="557E1AAC"/>
    <w:rsid w:val="594B23BF"/>
    <w:rsid w:val="59AC5554"/>
    <w:rsid w:val="59D20BEF"/>
    <w:rsid w:val="59ED232E"/>
    <w:rsid w:val="5A4A08C9"/>
    <w:rsid w:val="5B127639"/>
    <w:rsid w:val="5C2A72EF"/>
    <w:rsid w:val="5C7435C7"/>
    <w:rsid w:val="5EB86749"/>
    <w:rsid w:val="60FF41BB"/>
    <w:rsid w:val="614222FA"/>
    <w:rsid w:val="619012B7"/>
    <w:rsid w:val="61D4025C"/>
    <w:rsid w:val="632366B5"/>
    <w:rsid w:val="633345F0"/>
    <w:rsid w:val="64A01811"/>
    <w:rsid w:val="651C35EA"/>
    <w:rsid w:val="65E6594A"/>
    <w:rsid w:val="65FB3AF8"/>
    <w:rsid w:val="66212E26"/>
    <w:rsid w:val="6764746E"/>
    <w:rsid w:val="685C6397"/>
    <w:rsid w:val="6A7C4ACE"/>
    <w:rsid w:val="6AD03C7B"/>
    <w:rsid w:val="6BA20565"/>
    <w:rsid w:val="6BA51E03"/>
    <w:rsid w:val="6C3B62C3"/>
    <w:rsid w:val="6C81017A"/>
    <w:rsid w:val="6C991968"/>
    <w:rsid w:val="6CC83FFB"/>
    <w:rsid w:val="6D260D22"/>
    <w:rsid w:val="6D4318D3"/>
    <w:rsid w:val="6D54763D"/>
    <w:rsid w:val="6DD53383"/>
    <w:rsid w:val="6E1119D2"/>
    <w:rsid w:val="6E4543B1"/>
    <w:rsid w:val="70A97C9F"/>
    <w:rsid w:val="70DF1913"/>
    <w:rsid w:val="71AB5C99"/>
    <w:rsid w:val="729A01E8"/>
    <w:rsid w:val="73856327"/>
    <w:rsid w:val="74024296"/>
    <w:rsid w:val="745A3D6D"/>
    <w:rsid w:val="74A54C22"/>
    <w:rsid w:val="75734D20"/>
    <w:rsid w:val="757C028F"/>
    <w:rsid w:val="766A5A4A"/>
    <w:rsid w:val="797846B3"/>
    <w:rsid w:val="7A635363"/>
    <w:rsid w:val="7AF406B1"/>
    <w:rsid w:val="7B044C6E"/>
    <w:rsid w:val="7BE67FFA"/>
    <w:rsid w:val="7C5E2286"/>
    <w:rsid w:val="7C610CCC"/>
    <w:rsid w:val="7EE12CFA"/>
    <w:rsid w:val="7EE66563"/>
    <w:rsid w:val="7F547970"/>
    <w:rsid w:val="7FA2248A"/>
    <w:rsid w:val="7FDB3BE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宋体" w:hAnsi="宋体" w:eastAsia="宋体" w:cs="宋体"/>
      <w:color w:val="000000"/>
      <w:sz w:val="24"/>
      <w:szCs w:val="22"/>
      <w:lang w:val="en-US" w:eastAsia="en-US" w:bidi="ar-SA"/>
    </w:rPr>
  </w:style>
  <w:style w:type="paragraph" w:styleId="3">
    <w:name w:val="heading 1"/>
    <w:basedOn w:val="1"/>
    <w:next w:val="1"/>
    <w:link w:val="138"/>
    <w:qFormat/>
    <w:uiPriority w:val="9"/>
    <w:pPr>
      <w:keepNext/>
      <w:keepLines/>
      <w:spacing w:before="240" w:after="240"/>
      <w:outlineLvl w:val="0"/>
    </w:pPr>
    <w:rPr>
      <w:rFonts w:hAnsi="黑体" w:eastAsia="黑体" w:cs="黑体" w:asciiTheme="majorHAnsi"/>
      <w:b/>
      <w:bCs/>
      <w:color w:val="000000"/>
      <w:sz w:val="32"/>
      <w:szCs w:val="28"/>
    </w:rPr>
  </w:style>
  <w:style w:type="paragraph" w:styleId="4">
    <w:name w:val="heading 2"/>
    <w:basedOn w:val="1"/>
    <w:next w:val="1"/>
    <w:link w:val="139"/>
    <w:unhideWhenUsed/>
    <w:qFormat/>
    <w:uiPriority w:val="9"/>
    <w:pPr>
      <w:keepNext/>
      <w:keepLines/>
      <w:spacing w:before="180" w:after="180"/>
      <w:outlineLvl w:val="1"/>
    </w:pPr>
    <w:rPr>
      <w:rFonts w:hAnsi="黑体" w:eastAsia="黑体" w:cs="黑体" w:asciiTheme="majorHAnsi"/>
      <w:b/>
      <w:bCs/>
      <w:color w:val="000000"/>
      <w:sz w:val="28"/>
      <w:szCs w:val="26"/>
    </w:rPr>
  </w:style>
  <w:style w:type="paragraph" w:styleId="5">
    <w:name w:val="heading 3"/>
    <w:basedOn w:val="1"/>
    <w:next w:val="1"/>
    <w:link w:val="140"/>
    <w:unhideWhenUsed/>
    <w:qFormat/>
    <w:uiPriority w:val="9"/>
    <w:pPr>
      <w:keepNext/>
      <w:keepLines/>
      <w:spacing w:before="180" w:after="120"/>
      <w:outlineLvl w:val="2"/>
    </w:pPr>
    <w:rPr>
      <w:rFonts w:hAnsi="黑体" w:eastAsia="黑体" w:cs="黑体" w:asciiTheme="majorHAnsi"/>
      <w:b/>
      <w:bCs/>
      <w:color w:val="000000"/>
      <w:sz w:val="26"/>
    </w:rPr>
  </w:style>
  <w:style w:type="paragraph" w:styleId="6">
    <w:name w:val="heading 4"/>
    <w:basedOn w:val="1"/>
    <w:next w:val="1"/>
    <w:link w:val="150"/>
    <w:semiHidden/>
    <w:unhideWhenUsed/>
    <w:qFormat/>
    <w:uiPriority w:val="9"/>
    <w:pPr>
      <w:keepNext/>
      <w:keepLines/>
      <w:spacing w:before="120" w:after="120"/>
      <w:outlineLvl w:val="3"/>
    </w:pPr>
    <w:rPr>
      <w:rFonts w:hAnsi="黑体" w:eastAsia="黑体" w:cs="黑体" w:asciiTheme="majorHAnsi"/>
      <w:b/>
      <w:bCs/>
      <w:i/>
      <w:iCs/>
      <w:color w:val="000000"/>
      <w:sz w:val="24"/>
    </w:rPr>
  </w:style>
  <w:style w:type="paragraph" w:styleId="7">
    <w:name w:val="heading 5"/>
    <w:basedOn w:val="1"/>
    <w:next w:val="1"/>
    <w:link w:val="151"/>
    <w:semiHidden/>
    <w:unhideWhenUsed/>
    <w:qFormat/>
    <w:uiPriority w:val="9"/>
    <w:pPr>
      <w:keepNext/>
      <w:keepLines/>
      <w:spacing w:before="120" w:after="60"/>
      <w:outlineLvl w:val="4"/>
    </w:pPr>
    <w:rPr>
      <w:rFonts w:hAnsi="黑体" w:eastAsia="黑体" w:cs="黑体" w:asciiTheme="majorHAnsi"/>
      <w:b/>
      <w:color w:val="000000"/>
      <w:sz w:val="22"/>
    </w:rPr>
  </w:style>
  <w:style w:type="paragraph" w:styleId="8">
    <w:name w:val="heading 6"/>
    <w:basedOn w:val="1"/>
    <w:next w:val="1"/>
    <w:link w:val="152"/>
    <w:semiHidden/>
    <w:unhideWhenUsed/>
    <w:qFormat/>
    <w:uiPriority w:val="9"/>
    <w:pPr>
      <w:keepNext/>
      <w:keepLines/>
      <w:spacing w:before="120" w:after="60"/>
      <w:outlineLvl w:val="5"/>
    </w:pPr>
    <w:rPr>
      <w:rFonts w:hAnsi="黑体" w:eastAsia="黑体" w:cs="黑体" w:asciiTheme="majorHAnsi"/>
      <w:b/>
      <w:i/>
      <w:iCs/>
      <w:color w:val="000000"/>
      <w:sz w:val="2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before="240" w:after="120" w:line="240" w:lineRule="auto"/>
      <w:contextualSpacing/>
      <w:jc w:val="center"/>
    </w:pPr>
    <w:rPr>
      <w:rFonts w:hAnsi="黑体" w:eastAsia="黑体" w:cs="黑体" w:asciiTheme="majorHAnsi"/>
      <w:b/>
      <w:color w:val="000000"/>
      <w:spacing w:val="5"/>
      <w:kern w:val="28"/>
      <w:sz w:val="5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483bf131-1747-4eb4-a6d9-148b608d1c7b</errorID>
      <errorWord>、</errorWord>
      <group>L1_Word</group>
      <groupName>字词问题</groupName>
      <ability>L2_Typo</ability>
      <abilityName>字词错误</abilityName>
      <candidateList>
        <item>、以</item>
      </candidateList>
      <explain/>
      <paraID> A613E40</paraID>
      <start>48</start>
      <end>50</end>
      <status>modified</status>
      <modifiedWord>、以</modifiedWord>
      <trackRevisions>false</trackRevisions>
    </reviewItem>
    <reviewItem>
      <errorID>3572812a-9a95-4c4e-8343-0bbeb4ffddb0</errorID>
      <errorWord>、</errorWord>
      <group>L1_Word</group>
      <groupName>字词问题</groupName>
      <ability>L2_Typo</ability>
      <abilityName>字词错误</abilityName>
      <candidateList>
        <item>、以</item>
      </candidateList>
      <explain/>
      <paraID>267C1341</paraID>
      <start>17</start>
      <end>19</end>
      <status>modified</status>
      <modifiedWord>、以</modifiedWord>
      <trackRevisions>false</trackRevisions>
    </reviewItem>
    <reviewItem>
      <errorID>7c4d2cc3-e3f5-4cfa-9c86-1f2c2e545ef0</errorID>
      <errorWord>隐形</errorWord>
      <group>L1_Word</group>
      <groupName>字词问题</groupName>
      <ability>L2_Typo</ability>
      <abilityName>字词错误</abilityName>
      <candidateList>
        <item>隐性</item>
      </candidateList>
      <explain>存在发音相同字词的误用。</explain>
      <paraID>267C1341</paraID>
      <start>54</start>
      <end>56</end>
      <status>modified</status>
      <modifiedWord>隐性</modifiedWord>
      <trackRevisions>false</trackRevisions>
    </reviewItem>
    <reviewItem>
      <errorID>e06eab5e-dc9f-4297-af9b-4d16bed9a246</errorID>
      <errorWord>不</errorWord>
      <group>L1_Word</group>
      <groupName>字词问题</groupName>
      <ability>L2_Typo</ability>
      <abilityName>字词错误</abilityName>
      <candidateList>
        <item>不得</item>
      </candidateList>
      <explain>〈助〉用在动词、形容词后面，表示不可以或不能够：去～｜要～｜动弹～｜马虎～｜老虎屁股摸～｜科学上来～半点虚假。</explain>
      <paraID>2984A82B</paraID>
      <start>75</start>
      <end>77</end>
      <status>modified</status>
      <modifiedWord>不得</modifiedWord>
      <trackRevisions>false</trackRevisions>
    </reviewItem>
    <reviewItem>
      <errorID>abe1799d-c478-4474-b3ea-f13daab96d6d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3D62D838</paraID>
      <start>5</start>
      <end>6</end>
      <status>modified</status>
      <modifiedWord>—</modifiedWord>
      <trackRevisions>false</trackRevisions>
    </reviewItem>
    <reviewItem>
      <errorID>cd049441-4c32-4dd8-a1a6-fc2397ea8d84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57384F4D</paraID>
      <start>5</start>
      <end>6</end>
      <status>modified</status>
      <modifiedWord>—</modifiedWord>
      <trackRevisions>false</trackRevisions>
    </reviewItem>
    <reviewItem>
      <errorID>902dd915-b624-4823-b2f8-1020d7400cd1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56CAFB59</paraID>
      <start>5</start>
      <end>6</end>
      <status>modified</status>
      <modifiedWord>—</modifiedWord>
      <trackRevisions>false</trackRevisions>
    </reviewItem>
    <reviewItem>
      <errorID>71f3cf88-e666-4de1-9890-2423be5146b3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5C939C7B</paraID>
      <start>4</start>
      <end>5</end>
      <status>modified</status>
      <modifiedWord>—</modifiedWord>
      <trackRevisions>false</trackRevisions>
    </reviewItem>
    <reviewItem>
      <errorID>3078f21a-6344-4f95-ae3d-9891b12aa493</errorID>
      <errorWord>无隐形收费</errorWord>
      <group>L1_Word</group>
      <groupName>字词问题</groupName>
      <ability>L2_Typo</ability>
      <abilityName>字词错误</abilityName>
      <candidateList>
        <item>无隐性收费</item>
      </candidateList>
      <explain/>
      <paraID>2E19561E</paraID>
      <start>31</start>
      <end>36</end>
      <status>modified</status>
      <modifiedWord>无隐性收费</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57294-8353-4a66-a933-66d339a9dbbe}">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3548</Words>
  <Characters>3635</Characters>
  <Lines>0</Lines>
  <Paragraphs>0</Paragraphs>
  <TotalTime>0</TotalTime>
  <ScaleCrop>false</ScaleCrop>
  <LinksUpToDate>false</LinksUpToDate>
  <CharactersWithSpaces>3641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潘伟</cp:lastModifiedBy>
  <cp:lastPrinted>2026-06-10T06:57:00Z</cp:lastPrinted>
  <dcterms:modified xsi:type="dcterms:W3CDTF">2026-06-24T08:32:20Z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 "1", "ContentProducer": "001191320114777023172010000", "ProduceID": "voiceassistant-790ab466f0813594", "ReservedCode1": "", "ContentPropagator": "001191320114777023172010000", "PropagateID": "voiceassistant-790ab466f0813594"}</vt:lpwstr>
  </property>
  <property fmtid="{D5CDD505-2E9C-101B-9397-08002B2CF9AE}" pid="3" name="KSOTemplateDocerSaveRecord">
    <vt:lpwstr>eyJoZGlkIjoiYjc3MTZiOGQyMzVjNzk2YmYxOWU2MjY4YjI4YTI1MjkiLCJ1c2VySWQiOiIyNDczMTQ4OTAifQ==</vt:lpwstr>
  </property>
  <property fmtid="{D5CDD505-2E9C-101B-9397-08002B2CF9AE}" pid="4" name="KSOProductBuildVer">
    <vt:lpwstr>2052-12.1.0.26895</vt:lpwstr>
  </property>
  <property fmtid="{D5CDD505-2E9C-101B-9397-08002B2CF9AE}" pid="5" name="ICV">
    <vt:lpwstr>9CAA88554E5B43B6ADA094F97A8B9C38_12</vt:lpwstr>
  </property>
</Properties>
</file>